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仿宋_GB2312" w:hAnsi="仿宋_GB2312" w:eastAsia="仿宋_GB2312" w:cs="仿宋_GB2312"/>
          <w:color w:val="000000"/>
          <w:sz w:val="32"/>
          <w:szCs w:val="32"/>
          <w:highlight w:val="none"/>
          <w:lang w:val="en-US" w:eastAsia="zh-CN"/>
        </w:rPr>
      </w:pPr>
      <w:bookmarkStart w:id="0" w:name="OLE_LINK1"/>
      <w:bookmarkStart w:id="1" w:name="OLE_LINK13"/>
      <w:r>
        <w:rPr>
          <w:rFonts w:hint="eastAsia" w:ascii="仿宋_GB2312" w:hAnsi="仿宋_GB2312" w:eastAsia="仿宋_GB2312" w:cs="仿宋_GB2312"/>
          <w:color w:val="000000"/>
          <w:sz w:val="32"/>
          <w:szCs w:val="32"/>
          <w:highlight w:val="none"/>
          <w:lang w:val="en-US" w:eastAsia="zh-CN"/>
        </w:rPr>
        <w:t>附件1：</w:t>
      </w:r>
    </w:p>
    <w:p>
      <w:pPr>
        <w:pStyle w:val="2"/>
        <w:rPr>
          <w:rFonts w:hint="default" w:ascii="等线" w:hAnsi="等线" w:eastAsia="等线" w:cs="Times New Roman"/>
          <w:sz w:val="21"/>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w w:val="99"/>
          <w:kern w:val="0"/>
          <w:sz w:val="44"/>
          <w:szCs w:val="44"/>
          <w:highlight w:val="none"/>
          <w:u w:val="none"/>
          <w:lang w:val="en-US" w:eastAsia="zh-CN"/>
        </w:rPr>
      </w:pPr>
      <w:bookmarkStart w:id="2" w:name="OLE_LINK5"/>
      <w:r>
        <w:rPr>
          <w:rFonts w:hint="eastAsia" w:ascii="方正小标宋_GBK" w:hAnsi="方正小标宋_GBK" w:eastAsia="方正小标宋_GBK" w:cs="方正小标宋_GBK"/>
          <w:sz w:val="44"/>
          <w:szCs w:val="44"/>
          <w:highlight w:val="none"/>
          <w:lang w:val="en-US" w:eastAsia="zh-CN"/>
        </w:rPr>
        <w:t>2025-2026</w:t>
      </w:r>
      <w:bookmarkEnd w:id="0"/>
      <w:bookmarkStart w:id="3" w:name="OLE_LINK4"/>
      <w:r>
        <w:rPr>
          <w:rFonts w:hint="eastAsia" w:ascii="方正小标宋简体" w:hAnsi="方正小标宋简体" w:eastAsia="方正小标宋简体" w:cs="方正小标宋简体"/>
          <w:w w:val="99"/>
          <w:kern w:val="0"/>
          <w:sz w:val="44"/>
          <w:szCs w:val="44"/>
          <w:highlight w:val="none"/>
          <w:u w:val="none"/>
          <w:lang w:val="en-US" w:eastAsia="zh-CN"/>
        </w:rPr>
        <w:t>年度</w:t>
      </w:r>
      <w:bookmarkEnd w:id="2"/>
      <w:r>
        <w:rPr>
          <w:rFonts w:hint="eastAsia" w:ascii="方正小标宋简体" w:hAnsi="方正小标宋简体" w:eastAsia="方正小标宋简体" w:cs="方正小标宋简体"/>
          <w:w w:val="99"/>
          <w:kern w:val="0"/>
          <w:sz w:val="44"/>
          <w:szCs w:val="44"/>
          <w:highlight w:val="none"/>
          <w:u w:val="none"/>
          <w:lang w:val="en-US" w:eastAsia="zh-CN"/>
        </w:rPr>
        <w:t>常年</w:t>
      </w:r>
      <w:r>
        <w:rPr>
          <w:rFonts w:hint="eastAsia" w:ascii="方正小标宋简体" w:hAnsi="方正小标宋简体" w:eastAsia="方正小标宋简体" w:cs="方正小标宋简体"/>
          <w:w w:val="99"/>
          <w:kern w:val="0"/>
          <w:sz w:val="44"/>
          <w:szCs w:val="44"/>
          <w:highlight w:val="none"/>
          <w:u w:val="none"/>
        </w:rPr>
        <w:t>法律顾问</w:t>
      </w:r>
      <w:r>
        <w:rPr>
          <w:rFonts w:hint="eastAsia" w:ascii="方正小标宋简体" w:hAnsi="方正小标宋简体" w:eastAsia="方正小标宋简体" w:cs="方正小标宋简体"/>
          <w:w w:val="99"/>
          <w:kern w:val="0"/>
          <w:sz w:val="44"/>
          <w:szCs w:val="44"/>
          <w:highlight w:val="none"/>
          <w:u w:val="none"/>
          <w:lang w:val="en-US" w:eastAsia="zh-CN"/>
        </w:rPr>
        <w:t>服务机构选聘</w:t>
      </w:r>
      <w:bookmarkEnd w:id="3"/>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宋体"/>
          <w:kern w:val="0"/>
          <w:sz w:val="20"/>
          <w:szCs w:val="20"/>
          <w:highlight w:val="none"/>
        </w:rPr>
      </w:pPr>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宋体"/>
          <w:kern w:val="0"/>
          <w:sz w:val="20"/>
          <w:szCs w:val="20"/>
          <w:highlight w:val="none"/>
        </w:rPr>
      </w:pPr>
      <w:bookmarkStart w:id="17" w:name="_GoBack"/>
      <w:bookmarkEnd w:id="17"/>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宋体"/>
          <w:kern w:val="0"/>
          <w:sz w:val="20"/>
          <w:szCs w:val="20"/>
          <w:highlight w:val="none"/>
        </w:rPr>
      </w:pPr>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宋体"/>
          <w:kern w:val="0"/>
          <w:sz w:val="20"/>
          <w:szCs w:val="2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highlight w:val="none"/>
          <w:lang w:val="en-US" w:eastAsia="zh-CN"/>
        </w:rPr>
      </w:pPr>
      <w:bookmarkStart w:id="4" w:name="OLE_LINK8"/>
      <w:bookmarkStart w:id="5" w:name="OLE_LINK12"/>
      <w:r>
        <w:rPr>
          <w:rFonts w:hint="eastAsia" w:ascii="方正小标宋_GBK" w:hAnsi="方正小标宋_GBK" w:eastAsia="方正小标宋_GBK" w:cs="方正小标宋_GBK"/>
          <w:sz w:val="44"/>
          <w:szCs w:val="44"/>
          <w:highlight w:val="none"/>
          <w:lang w:val="en-US" w:eastAsia="zh-CN"/>
        </w:rPr>
        <w:t>竞争性谈判</w:t>
      </w:r>
      <w:bookmarkEnd w:id="4"/>
      <w:r>
        <w:rPr>
          <w:rFonts w:hint="eastAsia" w:ascii="方正小标宋_GBK" w:hAnsi="方正小标宋_GBK" w:eastAsia="方正小标宋_GBK" w:cs="方正小标宋_GBK"/>
          <w:sz w:val="44"/>
          <w:szCs w:val="44"/>
          <w:highlight w:val="none"/>
          <w:lang w:val="en-US" w:eastAsia="zh-CN"/>
        </w:rPr>
        <w:t>文件</w:t>
      </w:r>
    </w:p>
    <w:bookmarkEnd w:id="5"/>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方正小标宋简体"/>
          <w:kern w:val="0"/>
          <w:sz w:val="20"/>
          <w:szCs w:val="20"/>
          <w:highlight w:val="none"/>
        </w:rPr>
      </w:pPr>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方正小标宋简体"/>
          <w:kern w:val="0"/>
          <w:sz w:val="20"/>
          <w:szCs w:val="20"/>
          <w:highlight w:val="none"/>
        </w:rPr>
      </w:pPr>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方正小标宋简体"/>
          <w:kern w:val="0"/>
          <w:sz w:val="20"/>
          <w:szCs w:val="20"/>
          <w:highlight w:val="none"/>
        </w:rPr>
      </w:pPr>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方正小标宋简体"/>
          <w:kern w:val="0"/>
          <w:sz w:val="20"/>
          <w:szCs w:val="20"/>
          <w:highlight w:val="none"/>
        </w:rPr>
      </w:pPr>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方正小标宋简体"/>
          <w:kern w:val="0"/>
          <w:sz w:val="20"/>
          <w:szCs w:val="20"/>
          <w:highlight w:val="none"/>
        </w:rPr>
      </w:pPr>
    </w:p>
    <w:p>
      <w:pPr>
        <w:pageBreakBefore w:val="0"/>
        <w:kinsoku/>
        <w:wordWrap/>
        <w:overflowPunct/>
        <w:topLinePunct w:val="0"/>
        <w:autoSpaceDE w:val="0"/>
        <w:autoSpaceDN w:val="0"/>
        <w:bidi w:val="0"/>
        <w:adjustRightInd w:val="0"/>
        <w:spacing w:line="560" w:lineRule="exact"/>
        <w:jc w:val="left"/>
        <w:textAlignment w:val="auto"/>
        <w:rPr>
          <w:rFonts w:ascii="仿宋" w:hAnsi="仿宋" w:eastAsia="仿宋" w:cs="方正小标宋简体"/>
          <w:kern w:val="0"/>
          <w:sz w:val="36"/>
          <w:szCs w:val="36"/>
          <w:highlight w:val="none"/>
        </w:rPr>
      </w:pPr>
    </w:p>
    <w:p>
      <w:pPr>
        <w:pageBreakBefore w:val="0"/>
        <w:tabs>
          <w:tab w:val="left" w:pos="3840"/>
          <w:tab w:val="left" w:pos="7580"/>
        </w:tabs>
        <w:kinsoku/>
        <w:wordWrap/>
        <w:overflowPunct/>
        <w:topLinePunct w:val="0"/>
        <w:autoSpaceDE w:val="0"/>
        <w:autoSpaceDN w:val="0"/>
        <w:bidi w:val="0"/>
        <w:adjustRightInd w:val="0"/>
        <w:spacing w:line="560" w:lineRule="exact"/>
        <w:jc w:val="left"/>
        <w:textAlignment w:val="auto"/>
        <w:rPr>
          <w:rFonts w:ascii="方正小标宋简体" w:hAnsi="方正小标宋简体" w:eastAsia="方正小标宋简体" w:cs="方正小标宋简体"/>
          <w:w w:val="99"/>
          <w:kern w:val="0"/>
          <w:sz w:val="36"/>
          <w:szCs w:val="36"/>
          <w:highlight w:val="none"/>
        </w:rPr>
      </w:pPr>
    </w:p>
    <w:p>
      <w:pPr>
        <w:keepNext w:val="0"/>
        <w:keepLines w:val="0"/>
        <w:pageBreakBefore w:val="0"/>
        <w:widowControl w:val="0"/>
        <w:tabs>
          <w:tab w:val="left" w:pos="3840"/>
          <w:tab w:val="left" w:pos="7580"/>
        </w:tabs>
        <w:kinsoku/>
        <w:wordWrap/>
        <w:overflowPunct/>
        <w:topLinePunct w:val="0"/>
        <w:autoSpaceDE w:val="0"/>
        <w:autoSpaceDN w:val="0"/>
        <w:bidi w:val="0"/>
        <w:adjustRightInd w:val="0"/>
        <w:snapToGrid/>
        <w:spacing w:line="560" w:lineRule="exact"/>
        <w:ind w:right="0"/>
        <w:jc w:val="center"/>
        <w:textAlignment w:val="auto"/>
        <w:rPr>
          <w:rFonts w:hint="eastAsia" w:ascii="方正小标宋简体" w:hAnsi="方正小标宋简体" w:eastAsia="方正小标宋简体" w:cs="方正小标宋简体"/>
          <w:w w:val="90"/>
          <w:kern w:val="0"/>
          <w:sz w:val="36"/>
          <w:szCs w:val="36"/>
          <w:highlight w:val="none"/>
          <w:lang w:val="en-US" w:eastAsia="zh-CN"/>
        </w:rPr>
      </w:pPr>
      <w:r>
        <w:rPr>
          <w:rFonts w:hint="eastAsia" w:ascii="方正小标宋简体" w:hAnsi="方正小标宋简体" w:eastAsia="方正小标宋简体" w:cs="方正小标宋简体"/>
          <w:w w:val="90"/>
          <w:kern w:val="0"/>
          <w:sz w:val="36"/>
          <w:szCs w:val="36"/>
          <w:highlight w:val="none"/>
          <w:lang w:val="en-US" w:eastAsia="zh-CN"/>
        </w:rPr>
        <w:t>采购人：四川兴川重点项目股权投资基金管理有限公司</w:t>
      </w:r>
    </w:p>
    <w:p>
      <w:pPr>
        <w:pageBreakBefore w:val="0"/>
        <w:kinsoku/>
        <w:wordWrap/>
        <w:overflowPunct/>
        <w:topLinePunct w:val="0"/>
        <w:autoSpaceDE w:val="0"/>
        <w:autoSpaceDN w:val="0"/>
        <w:bidi w:val="0"/>
        <w:adjustRightInd w:val="0"/>
        <w:spacing w:line="560" w:lineRule="exact"/>
        <w:jc w:val="left"/>
        <w:textAlignment w:val="auto"/>
        <w:rPr>
          <w:rFonts w:ascii="方正小标宋简体" w:hAnsi="方正小标宋简体" w:eastAsia="方正小标宋简体" w:cs="方正小标宋简体"/>
          <w:kern w:val="0"/>
          <w:sz w:val="36"/>
          <w:szCs w:val="36"/>
          <w:highlight w:val="none"/>
        </w:rPr>
      </w:pPr>
    </w:p>
    <w:p>
      <w:pPr>
        <w:pageBreakBefore w:val="0"/>
        <w:widowControl/>
        <w:kinsoku/>
        <w:wordWrap/>
        <w:overflowPunct/>
        <w:topLinePunct w:val="0"/>
        <w:bidi w:val="0"/>
        <w:spacing w:line="560" w:lineRule="exact"/>
        <w:jc w:val="left"/>
        <w:textAlignment w:val="auto"/>
        <w:rPr>
          <w:rFonts w:ascii="方正小标宋简体" w:hAnsi="方正小标宋简体" w:eastAsia="方正小标宋简体" w:cs="方正小标宋简体"/>
          <w:kern w:val="0"/>
          <w:sz w:val="36"/>
          <w:szCs w:val="36"/>
          <w:highlight w:val="none"/>
        </w:rPr>
      </w:pPr>
    </w:p>
    <w:p>
      <w:pPr>
        <w:pageBreakBefore w:val="0"/>
        <w:tabs>
          <w:tab w:val="left" w:pos="3840"/>
          <w:tab w:val="left" w:pos="7580"/>
        </w:tabs>
        <w:kinsoku/>
        <w:wordWrap/>
        <w:overflowPunct/>
        <w:topLinePunct w:val="0"/>
        <w:autoSpaceDE w:val="0"/>
        <w:autoSpaceDN w:val="0"/>
        <w:bidi w:val="0"/>
        <w:adjustRightInd w:val="0"/>
        <w:spacing w:line="560" w:lineRule="exact"/>
        <w:ind w:right="-20"/>
        <w:jc w:val="center"/>
        <w:textAlignment w:val="auto"/>
        <w:rPr>
          <w:rFonts w:ascii="方正小标宋简体" w:hAnsi="方正小标宋简体" w:eastAsia="方正小标宋简体" w:cs="方正小标宋简体"/>
          <w:w w:val="99"/>
          <w:kern w:val="0"/>
          <w:sz w:val="36"/>
          <w:szCs w:val="36"/>
          <w:highlight w:val="none"/>
        </w:rPr>
      </w:pPr>
      <w:r>
        <w:rPr>
          <w:rFonts w:hint="eastAsia" w:ascii="方正小标宋简体" w:hAnsi="方正小标宋简体" w:eastAsia="方正小标宋简体" w:cs="方正小标宋简体"/>
          <w:w w:val="99"/>
          <w:kern w:val="0"/>
          <w:sz w:val="36"/>
          <w:szCs w:val="36"/>
          <w:highlight w:val="none"/>
        </w:rPr>
        <w:t>日期：</w:t>
      </w:r>
      <w:r>
        <w:rPr>
          <w:rFonts w:hint="eastAsia" w:ascii="方正小标宋简体" w:hAnsi="方正小标宋简体" w:eastAsia="方正小标宋简体" w:cs="方正小标宋简体"/>
          <w:w w:val="99"/>
          <w:kern w:val="0"/>
          <w:sz w:val="36"/>
          <w:szCs w:val="36"/>
          <w:highlight w:val="none"/>
          <w:lang w:val="en-US" w:eastAsia="zh-CN"/>
        </w:rPr>
        <w:t>2025</w:t>
      </w:r>
      <w:r>
        <w:rPr>
          <w:rFonts w:hint="eastAsia" w:ascii="方正小标宋简体" w:hAnsi="方正小标宋简体" w:eastAsia="方正小标宋简体" w:cs="方正小标宋简体"/>
          <w:w w:val="99"/>
          <w:kern w:val="0"/>
          <w:sz w:val="36"/>
          <w:szCs w:val="36"/>
          <w:highlight w:val="none"/>
        </w:rPr>
        <w:t>年</w:t>
      </w:r>
      <w:r>
        <w:rPr>
          <w:rFonts w:hint="eastAsia" w:ascii="方正小标宋简体" w:hAnsi="方正小标宋简体" w:eastAsia="方正小标宋简体" w:cs="方正小标宋简体"/>
          <w:w w:val="99"/>
          <w:kern w:val="0"/>
          <w:sz w:val="36"/>
          <w:szCs w:val="36"/>
          <w:highlight w:val="none"/>
          <w:lang w:val="en-US" w:eastAsia="zh-CN"/>
        </w:rPr>
        <w:t xml:space="preserve">   </w:t>
      </w:r>
      <w:r>
        <w:rPr>
          <w:rFonts w:hint="eastAsia" w:ascii="方正小标宋简体" w:hAnsi="方正小标宋简体" w:eastAsia="方正小标宋简体" w:cs="方正小标宋简体"/>
          <w:w w:val="99"/>
          <w:kern w:val="0"/>
          <w:sz w:val="36"/>
          <w:szCs w:val="36"/>
          <w:highlight w:val="none"/>
        </w:rPr>
        <w:t>月</w:t>
      </w:r>
      <w:r>
        <w:rPr>
          <w:rFonts w:hint="eastAsia" w:ascii="方正小标宋简体" w:hAnsi="方正小标宋简体" w:eastAsia="方正小标宋简体" w:cs="方正小标宋简体"/>
          <w:w w:val="99"/>
          <w:kern w:val="0"/>
          <w:sz w:val="36"/>
          <w:szCs w:val="36"/>
          <w:highlight w:val="none"/>
          <w:lang w:val="en-US" w:eastAsia="zh-CN"/>
        </w:rPr>
        <w:t xml:space="preserve">   </w:t>
      </w:r>
      <w:r>
        <w:rPr>
          <w:rFonts w:hint="eastAsia" w:ascii="方正小标宋简体" w:hAnsi="方正小标宋简体" w:eastAsia="方正小标宋简体" w:cs="方正小标宋简体"/>
          <w:w w:val="99"/>
          <w:kern w:val="0"/>
          <w:sz w:val="36"/>
          <w:szCs w:val="36"/>
          <w:highlight w:val="none"/>
        </w:rPr>
        <w:t>日</w:t>
      </w:r>
    </w:p>
    <w:p>
      <w:pPr>
        <w:rPr>
          <w:rFonts w:hint="eastAsia"/>
          <w:highlight w:val="none"/>
          <w:lang w:val="en-US" w:eastAsia="zh-CN"/>
        </w:r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pageBreakBefore w:val="0"/>
        <w:kinsoku/>
        <w:wordWrap/>
        <w:overflowPunct/>
        <w:topLinePunct w:val="0"/>
        <w:bidi w:val="0"/>
        <w:spacing w:line="56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    录</w:t>
      </w:r>
    </w:p>
    <w:p>
      <w:pPr>
        <w:pStyle w:val="2"/>
        <w:pageBreakBefore w:val="0"/>
        <w:kinsoku/>
        <w:wordWrap/>
        <w:overflowPunct/>
        <w:topLinePunct w:val="0"/>
        <w:bidi w:val="0"/>
        <w:spacing w:after="0" w:line="560" w:lineRule="exact"/>
        <w:textAlignment w:val="auto"/>
        <w:rPr>
          <w:rFonts w:ascii="仿宋_GB2312" w:hAnsi="仿宋_GB2312" w:eastAsia="仿宋_GB2312" w:cs="仿宋_GB2312"/>
          <w:sz w:val="32"/>
          <w:szCs w:val="32"/>
          <w:highlight w:val="none"/>
        </w:rPr>
      </w:pPr>
    </w:p>
    <w:p>
      <w:pPr>
        <w:pStyle w:val="6"/>
        <w:pageBreakBefore w:val="0"/>
        <w:tabs>
          <w:tab w:val="right" w:leader="dot" w:pos="8835"/>
        </w:tabs>
        <w:kinsoku/>
        <w:wordWrap/>
        <w:overflowPunct/>
        <w:topLinePunct w:val="0"/>
        <w:bidi w:val="0"/>
        <w:spacing w:line="560" w:lineRule="exact"/>
        <w:ind w:left="0" w:leftChars="0"/>
        <w:textAlignment w:val="auto"/>
        <w:rPr>
          <w:rFonts w:ascii="黑体" w:hAnsi="黑体" w:eastAsia="黑体" w:cs="Times New Roman"/>
          <w:sz w:val="32"/>
          <w:szCs w:val="32"/>
          <w:highlight w:val="none"/>
        </w:rPr>
      </w:pPr>
      <w:r>
        <w:rPr>
          <w:rFonts w:hint="eastAsia" w:ascii="黑体" w:hAnsi="黑体" w:eastAsia="黑体" w:cs="仿宋_GB2312"/>
          <w:sz w:val="32"/>
          <w:szCs w:val="32"/>
          <w:highlight w:val="none"/>
        </w:rPr>
        <w:fldChar w:fldCharType="begin"/>
      </w:r>
      <w:r>
        <w:rPr>
          <w:rFonts w:hint="eastAsia" w:ascii="黑体" w:hAnsi="黑体" w:eastAsia="黑体" w:cs="仿宋_GB2312"/>
          <w:sz w:val="32"/>
          <w:szCs w:val="32"/>
          <w:highlight w:val="none"/>
        </w:rPr>
        <w:instrText xml:space="preserve">TOC \o "1-3" \h \u </w:instrText>
      </w:r>
      <w:r>
        <w:rPr>
          <w:rFonts w:hint="eastAsia" w:ascii="黑体" w:hAnsi="黑体" w:eastAsia="黑体" w:cs="仿宋_GB2312"/>
          <w:sz w:val="32"/>
          <w:szCs w:val="32"/>
          <w:highlight w:val="none"/>
        </w:rPr>
        <w:fldChar w:fldCharType="separate"/>
      </w:r>
      <w:r>
        <w:rPr>
          <w:rFonts w:ascii="黑体" w:hAnsi="黑体" w:eastAsia="黑体" w:cs="Times New Roman"/>
          <w:sz w:val="32"/>
          <w:szCs w:val="32"/>
          <w:highlight w:val="none"/>
        </w:rPr>
        <w:fldChar w:fldCharType="begin"/>
      </w:r>
      <w:r>
        <w:rPr>
          <w:rFonts w:ascii="黑体" w:hAnsi="黑体" w:eastAsia="黑体" w:cs="Times New Roman"/>
          <w:sz w:val="32"/>
          <w:szCs w:val="32"/>
          <w:highlight w:val="none"/>
        </w:rPr>
        <w:instrText xml:space="preserve"> HYPERLINK \l "_Toc103677287" </w:instrText>
      </w:r>
      <w:r>
        <w:rPr>
          <w:rFonts w:ascii="黑体" w:hAnsi="黑体" w:eastAsia="黑体" w:cs="Times New Roman"/>
          <w:sz w:val="32"/>
          <w:szCs w:val="32"/>
          <w:highlight w:val="none"/>
        </w:rPr>
        <w:fldChar w:fldCharType="separate"/>
      </w:r>
      <w:r>
        <w:rPr>
          <w:rFonts w:ascii="黑体" w:hAnsi="黑体" w:eastAsia="黑体" w:cs="Times New Roman"/>
          <w:sz w:val="32"/>
          <w:szCs w:val="32"/>
          <w:highlight w:val="none"/>
        </w:rPr>
        <w:t>第一章</w:t>
      </w:r>
      <w:r>
        <w:rPr>
          <w:rFonts w:hint="eastAsia" w:ascii="黑体" w:hAnsi="黑体" w:eastAsia="黑体" w:cs="Times New Roman"/>
          <w:sz w:val="32"/>
          <w:szCs w:val="32"/>
          <w:highlight w:val="none"/>
          <w:lang w:val="en-US" w:eastAsia="zh-CN"/>
        </w:rPr>
        <w:t xml:space="preserve"> 谈判公告</w:t>
      </w:r>
      <w:r>
        <w:rPr>
          <w:rFonts w:ascii="黑体" w:hAnsi="黑体" w:eastAsia="黑体" w:cs="Times New Roman"/>
          <w:sz w:val="32"/>
          <w:szCs w:val="32"/>
          <w:highlight w:val="none"/>
        </w:rPr>
        <w:tab/>
      </w:r>
      <w:r>
        <w:rPr>
          <w:rFonts w:ascii="黑体" w:hAnsi="黑体" w:eastAsia="黑体"/>
          <w:sz w:val="32"/>
          <w:szCs w:val="32"/>
          <w:highlight w:val="none"/>
        </w:rPr>
        <w:fldChar w:fldCharType="begin"/>
      </w:r>
      <w:r>
        <w:rPr>
          <w:rFonts w:ascii="黑体" w:hAnsi="黑体" w:eastAsia="黑体"/>
          <w:sz w:val="32"/>
          <w:szCs w:val="32"/>
          <w:highlight w:val="none"/>
        </w:rPr>
        <w:instrText xml:space="preserve"> PAGEREF _Toc103677289 \h </w:instrText>
      </w:r>
      <w:r>
        <w:rPr>
          <w:rFonts w:ascii="黑体" w:hAnsi="黑体" w:eastAsia="黑体"/>
          <w:sz w:val="32"/>
          <w:szCs w:val="32"/>
          <w:highlight w:val="none"/>
        </w:rPr>
        <w:fldChar w:fldCharType="separate"/>
      </w:r>
      <w:r>
        <w:rPr>
          <w:rFonts w:ascii="黑体" w:hAnsi="黑体" w:eastAsia="黑体"/>
          <w:sz w:val="32"/>
          <w:szCs w:val="32"/>
          <w:highlight w:val="none"/>
        </w:rPr>
        <w:t>- 4 -</w:t>
      </w:r>
      <w:r>
        <w:rPr>
          <w:rFonts w:ascii="黑体" w:hAnsi="黑体" w:eastAsia="黑体"/>
          <w:sz w:val="32"/>
          <w:szCs w:val="32"/>
          <w:highlight w:val="none"/>
        </w:rPr>
        <w:fldChar w:fldCharType="end"/>
      </w:r>
      <w:r>
        <w:rPr>
          <w:rFonts w:ascii="黑体" w:hAnsi="黑体" w:eastAsia="黑体" w:cs="Times New Roman"/>
          <w:sz w:val="32"/>
          <w:szCs w:val="32"/>
          <w:highlight w:val="none"/>
        </w:rPr>
        <w:fldChar w:fldCharType="end"/>
      </w:r>
    </w:p>
    <w:p>
      <w:pPr>
        <w:pStyle w:val="6"/>
        <w:pageBreakBefore w:val="0"/>
        <w:tabs>
          <w:tab w:val="right" w:leader="dot" w:pos="8835"/>
        </w:tabs>
        <w:kinsoku/>
        <w:wordWrap/>
        <w:overflowPunct/>
        <w:topLinePunct w:val="0"/>
        <w:bidi w:val="0"/>
        <w:spacing w:line="560" w:lineRule="exact"/>
        <w:ind w:left="0" w:leftChars="0"/>
        <w:textAlignment w:val="auto"/>
        <w:rPr>
          <w:rFonts w:ascii="黑体" w:hAnsi="黑体" w:eastAsia="黑体" w:cs="Times New Roman"/>
          <w:sz w:val="32"/>
          <w:szCs w:val="32"/>
          <w:highlight w:val="none"/>
        </w:rPr>
      </w:pPr>
      <w:r>
        <w:rPr>
          <w:highlight w:val="none"/>
        </w:rPr>
        <w:fldChar w:fldCharType="begin"/>
      </w:r>
      <w:r>
        <w:rPr>
          <w:highlight w:val="none"/>
        </w:rPr>
        <w:instrText xml:space="preserve"> HYPERLINK \l "_Toc103677289" </w:instrText>
      </w:r>
      <w:r>
        <w:rPr>
          <w:highlight w:val="none"/>
        </w:rPr>
        <w:fldChar w:fldCharType="separate"/>
      </w:r>
      <w:bookmarkStart w:id="6" w:name="OLE_LINK6"/>
      <w:r>
        <w:rPr>
          <w:rStyle w:val="11"/>
          <w:rFonts w:ascii="黑体" w:hAnsi="黑体" w:eastAsia="黑体" w:cs="宋体"/>
          <w:sz w:val="32"/>
          <w:szCs w:val="32"/>
          <w:highlight w:val="none"/>
        </w:rPr>
        <w:t>第</w:t>
      </w:r>
      <w:r>
        <w:rPr>
          <w:rStyle w:val="11"/>
          <w:rFonts w:hint="eastAsia" w:ascii="黑体" w:hAnsi="黑体" w:eastAsia="黑体" w:cs="宋体"/>
          <w:sz w:val="32"/>
          <w:szCs w:val="32"/>
          <w:highlight w:val="none"/>
          <w:lang w:val="en-US" w:eastAsia="zh-CN"/>
        </w:rPr>
        <w:t>二</w:t>
      </w:r>
      <w:r>
        <w:rPr>
          <w:rStyle w:val="11"/>
          <w:rFonts w:ascii="黑体" w:hAnsi="黑体" w:eastAsia="黑体" w:cs="宋体"/>
          <w:sz w:val="32"/>
          <w:szCs w:val="32"/>
          <w:highlight w:val="none"/>
        </w:rPr>
        <w:t>章 评审办法</w:t>
      </w:r>
      <w:bookmarkEnd w:id="6"/>
      <w:r>
        <w:rPr>
          <w:rFonts w:ascii="黑体" w:hAnsi="黑体" w:eastAsia="黑体"/>
          <w:sz w:val="32"/>
          <w:szCs w:val="32"/>
          <w:highlight w:val="none"/>
        </w:rPr>
        <w:tab/>
      </w:r>
      <w:r>
        <w:rPr>
          <w:rFonts w:ascii="黑体" w:hAnsi="黑体" w:eastAsia="黑体"/>
          <w:sz w:val="32"/>
          <w:szCs w:val="32"/>
          <w:highlight w:val="none"/>
        </w:rPr>
        <w:fldChar w:fldCharType="begin"/>
      </w:r>
      <w:r>
        <w:rPr>
          <w:rFonts w:ascii="黑体" w:hAnsi="黑体" w:eastAsia="黑体"/>
          <w:sz w:val="32"/>
          <w:szCs w:val="32"/>
          <w:highlight w:val="none"/>
        </w:rPr>
        <w:instrText xml:space="preserve"> PAGEREF _Toc103677289 \h </w:instrText>
      </w:r>
      <w:r>
        <w:rPr>
          <w:rFonts w:ascii="黑体" w:hAnsi="黑体" w:eastAsia="黑体"/>
          <w:sz w:val="32"/>
          <w:szCs w:val="32"/>
          <w:highlight w:val="none"/>
        </w:rPr>
        <w:fldChar w:fldCharType="separate"/>
      </w:r>
      <w:r>
        <w:rPr>
          <w:rFonts w:ascii="黑体" w:hAnsi="黑体" w:eastAsia="黑体"/>
          <w:sz w:val="32"/>
          <w:szCs w:val="32"/>
          <w:highlight w:val="none"/>
        </w:rPr>
        <w:t>- 4 -</w:t>
      </w:r>
      <w:r>
        <w:rPr>
          <w:rFonts w:ascii="黑体" w:hAnsi="黑体" w:eastAsia="黑体"/>
          <w:sz w:val="32"/>
          <w:szCs w:val="32"/>
          <w:highlight w:val="none"/>
        </w:rPr>
        <w:fldChar w:fldCharType="end"/>
      </w:r>
      <w:r>
        <w:rPr>
          <w:rFonts w:ascii="黑体" w:hAnsi="黑体" w:eastAsia="黑体"/>
          <w:sz w:val="32"/>
          <w:szCs w:val="32"/>
          <w:highlight w:val="none"/>
        </w:rPr>
        <w:fldChar w:fldCharType="end"/>
      </w:r>
    </w:p>
    <w:p>
      <w:pPr>
        <w:pStyle w:val="6"/>
        <w:pageBreakBefore w:val="0"/>
        <w:tabs>
          <w:tab w:val="right" w:leader="dot" w:pos="8835"/>
        </w:tabs>
        <w:kinsoku/>
        <w:wordWrap/>
        <w:overflowPunct/>
        <w:topLinePunct w:val="0"/>
        <w:bidi w:val="0"/>
        <w:spacing w:line="560" w:lineRule="exact"/>
        <w:ind w:left="0" w:leftChars="0"/>
        <w:textAlignment w:val="auto"/>
        <w:rPr>
          <w:rFonts w:ascii="黑体" w:hAnsi="黑体" w:eastAsia="黑体"/>
          <w:sz w:val="32"/>
          <w:szCs w:val="32"/>
          <w:highlight w:val="none"/>
        </w:rPr>
      </w:pPr>
      <w:r>
        <w:rPr>
          <w:highlight w:val="none"/>
        </w:rPr>
        <w:fldChar w:fldCharType="begin"/>
      </w:r>
      <w:r>
        <w:rPr>
          <w:highlight w:val="none"/>
        </w:rPr>
        <w:instrText xml:space="preserve"> HYPERLINK \l "_Toc103677292" </w:instrText>
      </w:r>
      <w:r>
        <w:rPr>
          <w:highlight w:val="none"/>
        </w:rPr>
        <w:fldChar w:fldCharType="separate"/>
      </w:r>
      <w:bookmarkStart w:id="7" w:name="OLE_LINK2"/>
      <w:r>
        <w:rPr>
          <w:rStyle w:val="11"/>
          <w:rFonts w:ascii="黑体" w:hAnsi="黑体" w:eastAsia="黑体" w:cs="宋体"/>
          <w:sz w:val="32"/>
          <w:szCs w:val="32"/>
          <w:highlight w:val="none"/>
        </w:rPr>
        <w:t>第</w:t>
      </w:r>
      <w:r>
        <w:rPr>
          <w:rStyle w:val="11"/>
          <w:rFonts w:hint="eastAsia" w:ascii="黑体" w:hAnsi="黑体" w:eastAsia="黑体" w:cs="宋体"/>
          <w:sz w:val="32"/>
          <w:szCs w:val="32"/>
          <w:highlight w:val="none"/>
          <w:lang w:val="en-US" w:eastAsia="zh-CN"/>
        </w:rPr>
        <w:t>三</w:t>
      </w:r>
      <w:r>
        <w:rPr>
          <w:rStyle w:val="11"/>
          <w:rFonts w:ascii="黑体" w:hAnsi="黑体" w:eastAsia="黑体" w:cs="宋体"/>
          <w:sz w:val="32"/>
          <w:szCs w:val="32"/>
          <w:highlight w:val="none"/>
        </w:rPr>
        <w:t>章 响应文件格式</w:t>
      </w:r>
      <w:bookmarkEnd w:id="7"/>
      <w:r>
        <w:rPr>
          <w:rFonts w:ascii="黑体" w:hAnsi="黑体" w:eastAsia="黑体"/>
          <w:sz w:val="32"/>
          <w:szCs w:val="32"/>
          <w:highlight w:val="none"/>
        </w:rPr>
        <w:tab/>
      </w:r>
      <w:r>
        <w:rPr>
          <w:rFonts w:ascii="黑体" w:hAnsi="黑体" w:eastAsia="黑体"/>
          <w:sz w:val="32"/>
          <w:szCs w:val="32"/>
          <w:highlight w:val="none"/>
        </w:rPr>
        <w:fldChar w:fldCharType="begin"/>
      </w:r>
      <w:r>
        <w:rPr>
          <w:rFonts w:ascii="黑体" w:hAnsi="黑体" w:eastAsia="黑体"/>
          <w:sz w:val="32"/>
          <w:szCs w:val="32"/>
          <w:highlight w:val="none"/>
        </w:rPr>
        <w:instrText xml:space="preserve"> PAGEREF _Toc103677289 \h </w:instrText>
      </w:r>
      <w:r>
        <w:rPr>
          <w:rFonts w:ascii="黑体" w:hAnsi="黑体" w:eastAsia="黑体"/>
          <w:sz w:val="32"/>
          <w:szCs w:val="32"/>
          <w:highlight w:val="none"/>
        </w:rPr>
        <w:fldChar w:fldCharType="separate"/>
      </w:r>
      <w:r>
        <w:rPr>
          <w:rFonts w:ascii="黑体" w:hAnsi="黑体" w:eastAsia="黑体"/>
          <w:sz w:val="32"/>
          <w:szCs w:val="32"/>
          <w:highlight w:val="none"/>
        </w:rPr>
        <w:t>- 4 -</w:t>
      </w:r>
      <w:r>
        <w:rPr>
          <w:rFonts w:ascii="黑体" w:hAnsi="黑体" w:eastAsia="黑体"/>
          <w:sz w:val="32"/>
          <w:szCs w:val="32"/>
          <w:highlight w:val="none"/>
        </w:rPr>
        <w:fldChar w:fldCharType="end"/>
      </w:r>
      <w:r>
        <w:rPr>
          <w:rFonts w:ascii="黑体" w:hAnsi="黑体" w:eastAsia="黑体"/>
          <w:sz w:val="32"/>
          <w:szCs w:val="32"/>
          <w:highlight w:val="none"/>
        </w:rPr>
        <w:fldChar w:fldCharType="end"/>
      </w:r>
    </w:p>
    <w:p>
      <w:pPr>
        <w:pStyle w:val="6"/>
        <w:pageBreakBefore w:val="0"/>
        <w:tabs>
          <w:tab w:val="right" w:leader="dot" w:pos="8835"/>
        </w:tabs>
        <w:kinsoku/>
        <w:wordWrap/>
        <w:overflowPunct/>
        <w:topLinePunct w:val="0"/>
        <w:bidi w:val="0"/>
        <w:spacing w:line="560" w:lineRule="exact"/>
        <w:ind w:left="0" w:leftChars="0"/>
        <w:textAlignment w:val="auto"/>
        <w:rPr>
          <w:rFonts w:ascii="黑体" w:hAnsi="黑体" w:eastAsia="黑体" w:cs="Times New Roman"/>
          <w:sz w:val="32"/>
          <w:szCs w:val="32"/>
          <w:highlight w:val="none"/>
        </w:rPr>
      </w:pPr>
      <w:r>
        <w:rPr>
          <w:highlight w:val="none"/>
        </w:rPr>
        <w:fldChar w:fldCharType="begin"/>
      </w:r>
      <w:r>
        <w:rPr>
          <w:highlight w:val="none"/>
        </w:rPr>
        <w:instrText xml:space="preserve"> HYPERLINK \l "_Toc103677292" </w:instrText>
      </w:r>
      <w:r>
        <w:rPr>
          <w:highlight w:val="none"/>
        </w:rPr>
        <w:fldChar w:fldCharType="separate"/>
      </w:r>
      <w:r>
        <w:rPr>
          <w:rStyle w:val="11"/>
          <w:rFonts w:ascii="黑体" w:hAnsi="黑体" w:eastAsia="黑体" w:cs="宋体"/>
          <w:sz w:val="32"/>
          <w:szCs w:val="32"/>
          <w:highlight w:val="none"/>
        </w:rPr>
        <w:t>第</w:t>
      </w:r>
      <w:r>
        <w:rPr>
          <w:rStyle w:val="11"/>
          <w:rFonts w:hint="eastAsia" w:ascii="黑体" w:hAnsi="黑体" w:eastAsia="黑体" w:cs="宋体"/>
          <w:sz w:val="32"/>
          <w:szCs w:val="32"/>
          <w:highlight w:val="none"/>
          <w:lang w:val="en-US" w:eastAsia="zh-CN"/>
        </w:rPr>
        <w:t>四</w:t>
      </w:r>
      <w:r>
        <w:rPr>
          <w:rStyle w:val="11"/>
          <w:rFonts w:ascii="黑体" w:hAnsi="黑体" w:eastAsia="黑体" w:cs="宋体"/>
          <w:sz w:val="32"/>
          <w:szCs w:val="32"/>
          <w:highlight w:val="none"/>
        </w:rPr>
        <w:t xml:space="preserve">章 </w:t>
      </w:r>
      <w:r>
        <w:rPr>
          <w:rStyle w:val="11"/>
          <w:rFonts w:hint="eastAsia" w:ascii="黑体" w:hAnsi="黑体" w:eastAsia="黑体" w:cs="宋体"/>
          <w:sz w:val="32"/>
          <w:szCs w:val="32"/>
          <w:highlight w:val="none"/>
          <w:lang w:val="en-US" w:eastAsia="zh-CN"/>
        </w:rPr>
        <w:t>合同模板</w:t>
      </w:r>
      <w:r>
        <w:rPr>
          <w:rFonts w:ascii="黑体" w:hAnsi="黑体" w:eastAsia="黑体"/>
          <w:sz w:val="32"/>
          <w:szCs w:val="32"/>
          <w:highlight w:val="none"/>
        </w:rPr>
        <w:tab/>
      </w:r>
      <w:r>
        <w:rPr>
          <w:rFonts w:ascii="黑体" w:hAnsi="黑体" w:eastAsia="黑体"/>
          <w:sz w:val="32"/>
          <w:szCs w:val="32"/>
          <w:highlight w:val="none"/>
        </w:rPr>
        <w:fldChar w:fldCharType="begin"/>
      </w:r>
      <w:r>
        <w:rPr>
          <w:rFonts w:ascii="黑体" w:hAnsi="黑体" w:eastAsia="黑体"/>
          <w:sz w:val="32"/>
          <w:szCs w:val="32"/>
          <w:highlight w:val="none"/>
        </w:rPr>
        <w:instrText xml:space="preserve"> PAGEREF _Toc103677289 \h </w:instrText>
      </w:r>
      <w:r>
        <w:rPr>
          <w:rFonts w:ascii="黑体" w:hAnsi="黑体" w:eastAsia="黑体"/>
          <w:sz w:val="32"/>
          <w:szCs w:val="32"/>
          <w:highlight w:val="none"/>
        </w:rPr>
        <w:fldChar w:fldCharType="separate"/>
      </w:r>
      <w:r>
        <w:rPr>
          <w:rFonts w:ascii="黑体" w:hAnsi="黑体" w:eastAsia="黑体"/>
          <w:sz w:val="32"/>
          <w:szCs w:val="32"/>
          <w:highlight w:val="none"/>
        </w:rPr>
        <w:t>- 4 -</w:t>
      </w:r>
      <w:r>
        <w:rPr>
          <w:rFonts w:ascii="黑体" w:hAnsi="黑体" w:eastAsia="黑体"/>
          <w:sz w:val="32"/>
          <w:szCs w:val="32"/>
          <w:highlight w:val="none"/>
        </w:rPr>
        <w:fldChar w:fldCharType="end"/>
      </w:r>
      <w:r>
        <w:rPr>
          <w:rFonts w:ascii="黑体" w:hAnsi="黑体" w:eastAsia="黑体"/>
          <w:sz w:val="32"/>
          <w:szCs w:val="32"/>
          <w:highlight w:val="none"/>
        </w:rPr>
        <w:fldChar w:fldCharType="end"/>
      </w:r>
    </w:p>
    <w:p>
      <w:pPr>
        <w:rPr>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仿宋_GB2312"/>
          <w:sz w:val="32"/>
          <w:szCs w:val="32"/>
          <w:highlight w:val="none"/>
        </w:rPr>
        <w:fldChar w:fldCharType="end"/>
      </w:r>
    </w:p>
    <w:p>
      <w:pPr>
        <w:rPr>
          <w:rFonts w:hint="eastAsia" w:ascii="黑体" w:hAnsi="黑体" w:eastAsia="黑体" w:cs="黑体"/>
          <w:sz w:val="32"/>
          <w:szCs w:val="32"/>
          <w:highlight w:val="none"/>
          <w:lang w:val="en-US" w:eastAsia="zh-CN"/>
        </w:rPr>
      </w:pPr>
      <w:r>
        <w:rPr>
          <w:rFonts w:hint="eastAsia" w:ascii="黑体" w:hAnsi="黑体" w:eastAsia="黑体" w:cs="仿宋_GB2312"/>
          <w:sz w:val="32"/>
          <w:szCs w:val="32"/>
          <w:highlight w:val="none"/>
        </w:rPr>
        <w:br w:type="page"/>
      </w:r>
    </w:p>
    <w:p>
      <w:pPr>
        <w:pStyle w:val="3"/>
        <w:pageBreakBefore w:val="0"/>
        <w:numPr>
          <w:ilvl w:val="0"/>
          <w:numId w:val="1"/>
        </w:numPr>
        <w:kinsoku/>
        <w:wordWrap/>
        <w:overflowPunct/>
        <w:topLinePunct w:val="0"/>
        <w:bidi w:val="0"/>
        <w:adjustRightInd w:val="0"/>
        <w:snapToGrid w:val="0"/>
        <w:spacing w:line="560" w:lineRule="exact"/>
        <w:ind w:left="0" w:leftChars="0" w:firstLineChars="0"/>
        <w:jc w:val="center"/>
        <w:textAlignment w:val="auto"/>
        <w:rPr>
          <w:rFonts w:hint="eastAsia" w:ascii="黑体" w:hAnsi="黑体" w:eastAsia="黑体" w:cs="黑体"/>
          <w:szCs w:val="32"/>
          <w:highlight w:val="none"/>
        </w:rPr>
      </w:pPr>
      <w:r>
        <w:rPr>
          <w:rFonts w:hint="eastAsia" w:ascii="黑体" w:hAnsi="黑体" w:eastAsia="黑体" w:cs="黑体"/>
          <w:szCs w:val="32"/>
          <w:highlight w:val="none"/>
          <w:lang w:val="en-US" w:eastAsia="zh-CN"/>
        </w:rPr>
        <w:t>谈判公告</w:t>
      </w:r>
    </w:p>
    <w:p>
      <w:pPr>
        <w:pStyle w:val="12"/>
        <w:pageBreakBefore w:val="0"/>
        <w:kinsoku/>
        <w:wordWrap/>
        <w:overflowPunct/>
        <w:topLinePunct w:val="0"/>
        <w:bidi w:val="0"/>
        <w:spacing w:line="560" w:lineRule="exact"/>
        <w:ind w:firstLine="48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为提升公司依法合规管理水平，增强法律风险防控能力，四川兴川重点项目股权投资基金管理有限</w:t>
      </w:r>
      <w:r>
        <w:rPr>
          <w:rFonts w:hint="eastAsia" w:ascii="仿宋_GB2312" w:hAnsi="仿宋_GB2312" w:eastAsia="仿宋_GB2312" w:cs="仿宋_GB2312"/>
          <w:kern w:val="0"/>
          <w:sz w:val="32"/>
          <w:szCs w:val="32"/>
          <w:highlight w:val="none"/>
        </w:rPr>
        <w:t>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以下简称“兴川公司”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拟就2025-2026年度常年法律顾问服务机构进行选聘，欢迎符合条件的律师事务所参加谈判</w:t>
      </w:r>
      <w:r>
        <w:rPr>
          <w:rFonts w:hint="eastAsia" w:ascii="仿宋_GB2312" w:hAnsi="仿宋_GB2312" w:eastAsia="仿宋_GB2312" w:cs="仿宋_GB2312"/>
          <w:kern w:val="0"/>
          <w:sz w:val="32"/>
          <w:szCs w:val="32"/>
          <w:highlight w:val="none"/>
        </w:rPr>
        <w:t>。</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项目概况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 项目名称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兴川公司2025-2026年度常年法律顾问服务采购项目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 项目背景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为提升本公司依法合规经营水平，增强法律风险防控能力，现面向社会公开选聘一家律师事务所提供常年法律顾问服务。本项目实行竞争性谈判方式实施采购。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1.3 服务期限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sz w:val="32"/>
          <w:szCs w:val="32"/>
          <w:highlight w:val="none"/>
          <w:lang w:val="en-US" w:eastAsia="zh-CN"/>
        </w:rPr>
        <w:t>025年7月1日起至2026年6月30日止。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1.4 预算金额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不超过人民币壹拾万元整（¥100,000.00）。</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服务范围与技术要求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2.1 服务内容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为兴川公司提供2025-2026年度法律顾问服务的常见工作包括：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（一）提供法律咨询，提出意见、建议和依据；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（二）针对重大决策、重大项目的风险控制工作出具书面法律意见；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（三）对相关法律法规及监管规定进行解读；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（四）审查合同、协议、章程、确认书、函件等各类法律文件，并出具书面法律意见，对有关商务条款、商业条件是否存在对公司明显不利或无法操作等情形，提出意见建议；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（五）协助起草、制订、审核或者修改规划、计划、制度等内部文件，协议、合同及会议相关法律文件；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（六）协助建立和完善内部决策流程及操作流程；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（七）应邀参与相关会议，并就涉及的法律问题发表律师意见；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（八）就已经面临或者可能发生的纠纷，进行法律论证，提出解决方案，发表律师意见；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（九）起草、修改、审查业务活动中所需的格式文本或示范文本；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（十）提供法律培训，每年合计不少于两次，每次不少于2个小时；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（十一）代发布声明、公告、律师函等文书，代签署、送达或者接收法律文件；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（十二）其他法律顾问服务事宜。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2.2 技术要求：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（一）律师事务所应当具备以下基本条件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1.成立时间在五年以上，在成都市设有常驻机构，且常驻服务机构具有二十名以上执业人员；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2.近三年来未受到行政部门行政处罚或行业协会的行业处分；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3.按规定通过了有关部门的年度检验。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（二）律师事务所委派的团队负责人应当具备以下基本条件: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1.遵守法律法规，具备较高的政治素质和良好的职业道德；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2.本科以上学历，具备职业资格，团队负责人拥有八年及以上执业经验，现场负责人拥有五年及以上执业经验；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3.精通专业业务，具有处理复杂、疑难事务的工作经验和能力；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4.近三年来没有受过行业协会的行业处分。</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报价格式与要求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采用固定总价报价，报价单位为人民币元（含税）。报价涵盖所有服务费用、税费及其他相关成本，不得另行收费。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注：报价必须加盖公章，并由授权代表签字确认。</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谈判程序说明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4.1 发布公告：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通过集团官网发布竞争性谈判公告，接受报名并发放谈判文件。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 报名和</w:t>
      </w:r>
      <w:bookmarkStart w:id="8" w:name="OLE_LINK14"/>
      <w:bookmarkStart w:id="9" w:name="OLE_LINK16"/>
      <w:r>
        <w:rPr>
          <w:rFonts w:hint="eastAsia" w:ascii="仿宋_GB2312" w:hAnsi="仿宋_GB2312" w:eastAsia="仿宋_GB2312" w:cs="仿宋_GB2312"/>
          <w:sz w:val="32"/>
          <w:szCs w:val="32"/>
          <w:highlight w:val="none"/>
          <w:lang w:val="en-US" w:eastAsia="zh-CN"/>
        </w:rPr>
        <w:t>响应文件</w:t>
      </w:r>
      <w:bookmarkEnd w:id="8"/>
      <w:r>
        <w:rPr>
          <w:rFonts w:hint="eastAsia" w:ascii="仿宋_GB2312" w:hAnsi="仿宋_GB2312" w:eastAsia="仿宋_GB2312" w:cs="仿宋_GB2312"/>
          <w:sz w:val="32"/>
          <w:szCs w:val="32"/>
          <w:highlight w:val="none"/>
          <w:lang w:val="en-US" w:eastAsia="zh-CN"/>
        </w:rPr>
        <w:t>截止时间</w:t>
      </w:r>
      <w:bookmarkEnd w:id="9"/>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2025年【X】月【X】日【X】时前提交</w:t>
      </w:r>
      <w:bookmarkStart w:id="10" w:name="OLE_LINK15"/>
      <w:r>
        <w:rPr>
          <w:rFonts w:hint="eastAsia" w:ascii="仿宋_GB2312" w:hAnsi="仿宋_GB2312" w:eastAsia="仿宋_GB2312" w:cs="仿宋_GB2312"/>
          <w:sz w:val="32"/>
          <w:szCs w:val="32"/>
          <w:highlight w:val="none"/>
          <w:lang w:val="en-US" w:eastAsia="zh-CN"/>
        </w:rPr>
        <w:t>响应资料</w:t>
      </w:r>
      <w:bookmarkEnd w:id="10"/>
      <w:r>
        <w:rPr>
          <w:rFonts w:hint="eastAsia" w:ascii="仿宋_GB2312" w:hAnsi="仿宋_GB2312" w:eastAsia="仿宋_GB2312" w:cs="仿宋_GB2312"/>
          <w:sz w:val="32"/>
          <w:szCs w:val="32"/>
          <w:highlight w:val="none"/>
          <w:lang w:val="en-US" w:eastAsia="zh-CN"/>
        </w:rPr>
        <w:t>至【283277353@qq.com】并将书面响应材料邮寄到联系地址。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4.3 文件组成要求：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响应文件应包含但不限于：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律师事务所营业执照复印件（加盖公章）；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律师事务所执业许可证复印件（加盖公章）；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项目负责人简历及资质证明；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过往类似业绩清单及相关证明材料；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服务方案（包括服务计划、人员配置、响应机制等）；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其他承诺函件或其他证明材料。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4.4 </w:t>
      </w:r>
      <w:bookmarkStart w:id="11" w:name="OLE_LINK17"/>
      <w:r>
        <w:rPr>
          <w:rFonts w:hint="eastAsia" w:ascii="仿宋_GB2312" w:hAnsi="仿宋_GB2312" w:eastAsia="仿宋_GB2312" w:cs="仿宋_GB2312"/>
          <w:sz w:val="32"/>
          <w:szCs w:val="32"/>
          <w:highlight w:val="none"/>
          <w:lang w:val="en-US" w:eastAsia="zh-CN"/>
        </w:rPr>
        <w:t>竞争性谈判安排</w:t>
      </w:r>
      <w:bookmarkEnd w:id="11"/>
      <w:r>
        <w:rPr>
          <w:rFonts w:hint="eastAsia" w:ascii="仿宋_GB2312" w:hAnsi="仿宋_GB2312" w:eastAsia="仿宋_GB2312" w:cs="仿宋_GB2312"/>
          <w:sz w:val="32"/>
          <w:szCs w:val="32"/>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响应文件截止时间后的三个工作日内，兴川公司将向不低于五家满足响应要求律师事务所发放参与竞争性谈判安排通知。竞争性谈判的预计安排如下：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时间：2025年【X】月【X】日（以实际通知为准）；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地点：【四川省成都市高新区益州大道中段999号四川振兴（高新）双创基地1520室】；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内容：就服务理解、实施方案、价格合理性等内容进行问答回应。</w:t>
      </w:r>
    </w:p>
    <w:p>
      <w:pPr>
        <w:pStyle w:val="2"/>
        <w:numPr>
          <w:ilvl w:val="0"/>
          <w:numId w:val="2"/>
        </w:numPr>
        <w:spacing w:line="560" w:lineRule="exact"/>
        <w:ind w:firstLine="64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联系方式</w:t>
      </w:r>
    </w:p>
    <w:p>
      <w:pPr>
        <w:pStyle w:val="2"/>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采购人：四川兴川重点项目股权投资基金管理有限公司</w:t>
      </w:r>
    </w:p>
    <w:p>
      <w:pPr>
        <w:pStyle w:val="2"/>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地址：四川省成都市高新区益州大道中段999号四川振兴（高新）双创基地15楼</w:t>
      </w:r>
    </w:p>
    <w:p>
      <w:pPr>
        <w:pStyle w:val="2"/>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联系人及电话：严筱波 13880818937           </w:t>
      </w:r>
    </w:p>
    <w:p>
      <w:pPr>
        <w:pStyle w:val="2"/>
        <w:numPr>
          <w:ilvl w:val="0"/>
          <w:numId w:val="0"/>
        </w:num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电子邮件：</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"mailto:283277353@.com" </w:instrText>
      </w:r>
      <w:r>
        <w:rPr>
          <w:rFonts w:hint="eastAsia" w:ascii="仿宋_GB2312" w:hAnsi="仿宋_GB2312" w:eastAsia="仿宋_GB2312" w:cs="仿宋_GB2312"/>
          <w:sz w:val="32"/>
          <w:szCs w:val="32"/>
          <w:highlight w:val="none"/>
          <w:lang w:val="en-US" w:eastAsia="zh-CN"/>
        </w:rPr>
        <w:fldChar w:fldCharType="separate"/>
      </w:r>
      <w:r>
        <w:rPr>
          <w:rStyle w:val="11"/>
          <w:rFonts w:hint="eastAsia" w:ascii="仿宋_GB2312" w:hAnsi="仿宋_GB2312" w:eastAsia="仿宋_GB2312" w:cs="仿宋_GB2312"/>
          <w:sz w:val="32"/>
          <w:szCs w:val="32"/>
          <w:highlight w:val="none"/>
          <w:lang w:val="en-US" w:eastAsia="zh-CN"/>
        </w:rPr>
        <w:t>283277353@.com</w:t>
      </w:r>
      <w:r>
        <w:rPr>
          <w:rFonts w:hint="eastAsia" w:ascii="仿宋_GB2312" w:hAnsi="仿宋_GB2312" w:eastAsia="仿宋_GB2312" w:cs="仿宋_GB2312"/>
          <w:sz w:val="32"/>
          <w:szCs w:val="32"/>
          <w:highlight w:val="none"/>
          <w:lang w:val="en-US" w:eastAsia="zh-CN"/>
        </w:rPr>
        <w:fldChar w:fldCharType="end"/>
      </w:r>
    </w:p>
    <w:p>
      <w:pPr>
        <w:pStyle w:val="2"/>
        <w:pageBreakBefore w:val="0"/>
        <w:numPr>
          <w:ilvl w:val="0"/>
          <w:numId w:val="0"/>
        </w:numPr>
        <w:kinsoku/>
        <w:wordWrap/>
        <w:overflowPunct/>
        <w:topLinePunct w:val="0"/>
        <w:bidi w:val="0"/>
        <w:spacing w:after="0"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p>
    <w:p>
      <w:pPr>
        <w:pStyle w:val="2"/>
        <w:pageBreakBefore w:val="0"/>
        <w:numPr>
          <w:ilvl w:val="0"/>
          <w:numId w:val="0"/>
        </w:numPr>
        <w:kinsoku/>
        <w:wordWrap/>
        <w:overflowPunct/>
        <w:topLinePunct w:val="0"/>
        <w:bidi w:val="0"/>
        <w:spacing w:after="0"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p>
    <w:p>
      <w:pPr>
        <w:pStyle w:val="2"/>
        <w:pageBreakBefore w:val="0"/>
        <w:numPr>
          <w:ilvl w:val="0"/>
          <w:numId w:val="0"/>
        </w:numPr>
        <w:kinsoku/>
        <w:wordWrap/>
        <w:overflowPunct/>
        <w:topLinePunct w:val="0"/>
        <w:bidi w:val="0"/>
        <w:spacing w:after="0"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p>
    <w:p>
      <w:pPr>
        <w:pStyle w:val="2"/>
        <w:pageBreakBefore w:val="0"/>
        <w:numPr>
          <w:ilvl w:val="0"/>
          <w:numId w:val="0"/>
        </w:numPr>
        <w:kinsoku/>
        <w:wordWrap/>
        <w:overflowPunct/>
        <w:topLinePunct w:val="0"/>
        <w:bidi w:val="0"/>
        <w:spacing w:after="0"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p>
    <w:p>
      <w:pPr>
        <w:pStyle w:val="2"/>
        <w:pageBreakBefore w:val="0"/>
        <w:numPr>
          <w:ilvl w:val="0"/>
          <w:numId w:val="0"/>
        </w:numPr>
        <w:kinsoku/>
        <w:wordWrap/>
        <w:overflowPunct/>
        <w:topLinePunct w:val="0"/>
        <w:bidi w:val="0"/>
        <w:spacing w:after="0"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p>
    <w:p>
      <w:pPr>
        <w:rPr>
          <w:rFonts w:hint="eastAsia" w:ascii="仿宋_GB2312" w:hAnsi="仿宋_GB2312" w:eastAsia="仿宋_GB2312" w:cs="仿宋_GB2312"/>
          <w:kern w:val="0"/>
          <w:sz w:val="32"/>
          <w:szCs w:val="32"/>
          <w:highlight w:val="none"/>
          <w:lang w:val="en-US" w:eastAsia="zh-CN"/>
        </w:rPr>
      </w:pPr>
    </w:p>
    <w:p>
      <w:pPr>
        <w:pStyle w:val="2"/>
        <w:rPr>
          <w:rFonts w:hint="eastAsia" w:ascii="仿宋_GB2312" w:hAnsi="仿宋_GB2312" w:eastAsia="仿宋_GB2312" w:cs="仿宋_GB2312"/>
          <w:kern w:val="0"/>
          <w:sz w:val="32"/>
          <w:szCs w:val="32"/>
          <w:highlight w:val="none"/>
          <w:lang w:val="en-US" w:eastAsia="zh-CN"/>
        </w:rPr>
      </w:pPr>
    </w:p>
    <w:p>
      <w:pPr>
        <w:rPr>
          <w:rFonts w:hint="eastAsia"/>
          <w:highlight w:val="none"/>
          <w:lang w:val="en-US" w:eastAsia="zh-CN"/>
        </w:rPr>
      </w:pPr>
    </w:p>
    <w:p>
      <w:pPr>
        <w:pStyle w:val="2"/>
        <w:pageBreakBefore w:val="0"/>
        <w:numPr>
          <w:ilvl w:val="0"/>
          <w:numId w:val="0"/>
        </w:numPr>
        <w:kinsoku/>
        <w:wordWrap/>
        <w:overflowPunct/>
        <w:topLinePunct w:val="0"/>
        <w:bidi w:val="0"/>
        <w:spacing w:after="0"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p>
    <w:p>
      <w:pPr>
        <w:pStyle w:val="2"/>
        <w:pageBreakBefore w:val="0"/>
        <w:numPr>
          <w:ilvl w:val="0"/>
          <w:numId w:val="0"/>
        </w:numPr>
        <w:kinsoku/>
        <w:wordWrap/>
        <w:overflowPunct/>
        <w:topLinePunct w:val="0"/>
        <w:bidi w:val="0"/>
        <w:spacing w:after="0" w:line="560" w:lineRule="exact"/>
        <w:ind w:firstLine="640" w:firstLineChars="200"/>
        <w:jc w:val="righ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四川兴川重点项目股权投资基金管理</w:t>
      </w:r>
      <w:r>
        <w:rPr>
          <w:rFonts w:hint="eastAsia" w:ascii="仿宋_GB2312" w:hAnsi="仿宋_GB2312" w:eastAsia="仿宋_GB2312" w:cs="仿宋_GB2312"/>
          <w:kern w:val="0"/>
          <w:sz w:val="32"/>
          <w:szCs w:val="32"/>
          <w:highlight w:val="none"/>
        </w:rPr>
        <w:t>公司</w:t>
      </w:r>
    </w:p>
    <w:p>
      <w:pPr>
        <w:pStyle w:val="2"/>
        <w:pageBreakBefore w:val="0"/>
        <w:numPr>
          <w:ilvl w:val="0"/>
          <w:numId w:val="0"/>
        </w:numPr>
        <w:kinsoku/>
        <w:wordWrap/>
        <w:overflowPunct/>
        <w:topLinePunct w:val="0"/>
        <w:bidi w:val="0"/>
        <w:spacing w:after="0" w:line="560" w:lineRule="exact"/>
        <w:ind w:firstLine="640" w:firstLineChars="200"/>
        <w:jc w:val="righ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2025</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 xml:space="preserve">       </w:t>
      </w:r>
    </w:p>
    <w:p>
      <w:pPr>
        <w:rPr>
          <w:rFonts w:hint="eastAsia" w:ascii="仿宋_GB2312" w:hAnsi="仿宋_GB2312" w:eastAsia="仿宋_GB2312" w:cs="仿宋_GB2312"/>
          <w:sz w:val="32"/>
          <w:szCs w:val="32"/>
          <w:highlight w:val="none"/>
          <w:lang w:val="en-US" w:eastAsia="zh-CN"/>
        </w:rPr>
      </w:pPr>
    </w:p>
    <w:p>
      <w:pPr>
        <w:rPr>
          <w:rFonts w:hint="eastAsia"/>
          <w:highlight w:val="no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pStyle w:val="3"/>
        <w:numPr>
          <w:ilvl w:val="0"/>
          <w:numId w:val="1"/>
        </w:numPr>
        <w:adjustRightInd w:val="0"/>
        <w:snapToGrid w:val="0"/>
        <w:spacing w:line="560" w:lineRule="exact"/>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评审办法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一、评审方法：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采用综合评分法，满分100分，按得分高低推荐成交候选人。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二、评分细则：</w:t>
      </w:r>
    </w:p>
    <w:tbl>
      <w:tblPr>
        <w:tblStyle w:val="8"/>
        <w:tblW w:w="5113"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1212"/>
        <w:gridCol w:w="1261"/>
        <w:gridCol w:w="8443"/>
        <w:gridCol w:w="1209"/>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评标内容</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评标分值（满分）</w:t>
            </w: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得分</w:t>
            </w: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提交审核资料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报价</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所有报价的平均价为基准价，在基准价基础上报价每增加10%扣1分。</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584"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商务评审</w:t>
            </w:r>
          </w:p>
        </w:tc>
        <w:tc>
          <w:tcPr>
            <w:tcW w:w="4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30</w:t>
            </w: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1.团队负责人情况（10分）。团队负责人为事务所主任、副主任、高级合伙人，且执业经验10年以上得10分，每减少一年扣1分；团队负责人为事务所合伙人，且执业经验8-10年得8分，每减少1年扣1分；团队负责人为一般律师不得分。</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执业证书及相关文件，任职证明文件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主办律师团队（6分）。主办律师团队配备人数6人以上得3分，每减少1人扣1分；主办律师团队有注册会计师从业资格加1分，有基金从业资格加1分；主办律师团队本科专业包含法律、金融且擅长领域与公司业务需求匹配程度高得1分，其余不得分。</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团队成员配备表，相关从业资格证及其他证明文件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3.主办律师团队</w:t>
            </w:r>
            <w:r>
              <w:rPr>
                <w:rFonts w:hint="eastAsia" w:ascii="宋体" w:hAnsi="宋体" w:cs="宋体"/>
                <w:i w:val="0"/>
                <w:iCs w:val="0"/>
                <w:color w:val="000000"/>
                <w:kern w:val="0"/>
                <w:sz w:val="21"/>
                <w:szCs w:val="21"/>
                <w:highlight w:val="none"/>
                <w:u w:val="none"/>
                <w:lang w:val="en-US" w:eastAsia="zh-CN" w:bidi="ar"/>
              </w:rPr>
              <w:t>执</w:t>
            </w:r>
            <w:r>
              <w:rPr>
                <w:rFonts w:hint="eastAsia" w:ascii="宋体" w:hAnsi="宋体" w:eastAsia="宋体" w:cs="宋体"/>
                <w:i w:val="0"/>
                <w:iCs w:val="0"/>
                <w:color w:val="000000"/>
                <w:kern w:val="0"/>
                <w:sz w:val="21"/>
                <w:szCs w:val="21"/>
                <w:highlight w:val="none"/>
                <w:u w:val="none"/>
                <w:lang w:val="en-US" w:eastAsia="zh-CN" w:bidi="ar"/>
              </w:rPr>
              <w:t>业经验（</w:t>
            </w: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团队</w:t>
            </w:r>
            <w:r>
              <w:rPr>
                <w:rFonts w:hint="eastAsia" w:ascii="宋体" w:hAnsi="宋体" w:eastAsia="宋体" w:cs="宋体"/>
                <w:i w:val="0"/>
                <w:iCs w:val="0"/>
                <w:color w:val="000000"/>
                <w:kern w:val="0"/>
                <w:sz w:val="21"/>
                <w:szCs w:val="21"/>
                <w:highlight w:val="none"/>
                <w:u w:val="none"/>
                <w:lang w:val="en-US" w:eastAsia="zh-CN" w:bidi="ar"/>
              </w:rPr>
              <w:t>主办律师</w:t>
            </w:r>
            <w:r>
              <w:rPr>
                <w:rFonts w:hint="eastAsia" w:ascii="宋体" w:hAnsi="宋体" w:cs="宋体"/>
                <w:i w:val="0"/>
                <w:iCs w:val="0"/>
                <w:color w:val="000000"/>
                <w:kern w:val="0"/>
                <w:sz w:val="21"/>
                <w:szCs w:val="21"/>
                <w:highlight w:val="none"/>
                <w:u w:val="none"/>
                <w:lang w:val="en-US" w:eastAsia="zh-CN" w:bidi="ar"/>
              </w:rPr>
              <w:t>执业经验均在</w:t>
            </w:r>
            <w:r>
              <w:rPr>
                <w:rFonts w:hint="eastAsia" w:ascii="宋体" w:hAnsi="宋体" w:eastAsia="宋体" w:cs="宋体"/>
                <w:i w:val="0"/>
                <w:iCs w:val="0"/>
                <w:color w:val="000000"/>
                <w:kern w:val="0"/>
                <w:sz w:val="21"/>
                <w:szCs w:val="21"/>
                <w:highlight w:val="none"/>
                <w:u w:val="none"/>
                <w:lang w:val="en-US" w:eastAsia="zh-CN" w:bidi="ar"/>
              </w:rPr>
              <w:t>5年及以上得</w:t>
            </w:r>
            <w:r>
              <w:rPr>
                <w:rFonts w:hint="eastAsia" w:ascii="宋体" w:hAnsi="宋体" w:cs="宋体"/>
                <w:i w:val="0"/>
                <w:iCs w:val="0"/>
                <w:color w:val="000000"/>
                <w:kern w:val="0"/>
                <w:sz w:val="21"/>
                <w:szCs w:val="21"/>
                <w:highlight w:val="none"/>
                <w:u w:val="none"/>
                <w:lang w:val="en-US" w:eastAsia="zh-CN" w:bidi="ar"/>
              </w:rPr>
              <w:t>6</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，团队</w:t>
            </w:r>
            <w:r>
              <w:rPr>
                <w:rFonts w:hint="eastAsia" w:ascii="宋体" w:hAnsi="宋体" w:eastAsia="宋体" w:cs="宋体"/>
                <w:i w:val="0"/>
                <w:iCs w:val="0"/>
                <w:color w:val="000000"/>
                <w:kern w:val="0"/>
                <w:sz w:val="21"/>
                <w:szCs w:val="21"/>
                <w:highlight w:val="none"/>
                <w:u w:val="none"/>
                <w:lang w:val="en-US" w:eastAsia="zh-CN" w:bidi="ar"/>
              </w:rPr>
              <w:t>主办律师</w:t>
            </w:r>
            <w:r>
              <w:rPr>
                <w:rFonts w:hint="eastAsia" w:ascii="宋体" w:hAnsi="宋体" w:cs="宋体"/>
                <w:i w:val="0"/>
                <w:iCs w:val="0"/>
                <w:color w:val="000000"/>
                <w:kern w:val="0"/>
                <w:sz w:val="21"/>
                <w:szCs w:val="21"/>
                <w:highlight w:val="none"/>
                <w:u w:val="none"/>
                <w:lang w:val="en-US" w:eastAsia="zh-CN" w:bidi="ar"/>
              </w:rPr>
              <w:t>有2名及以上执业经验在</w:t>
            </w:r>
            <w:r>
              <w:rPr>
                <w:rFonts w:hint="eastAsia" w:ascii="宋体" w:hAnsi="宋体" w:eastAsia="宋体" w:cs="宋体"/>
                <w:i w:val="0"/>
                <w:iCs w:val="0"/>
                <w:color w:val="000000"/>
                <w:kern w:val="0"/>
                <w:sz w:val="21"/>
                <w:szCs w:val="21"/>
                <w:highlight w:val="none"/>
                <w:u w:val="none"/>
                <w:lang w:val="en-US" w:eastAsia="zh-CN" w:bidi="ar"/>
              </w:rPr>
              <w:t>5年及以上得4分。</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执业证书及相关文件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23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4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4.主办律师服务业绩（</w:t>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2021年</w:t>
            </w:r>
            <w:r>
              <w:rPr>
                <w:rFonts w:hint="eastAsia" w:ascii="宋体" w:hAnsi="宋体" w:eastAsia="宋体" w:cs="宋体"/>
                <w:i w:val="0"/>
                <w:iCs w:val="0"/>
                <w:color w:val="000000"/>
                <w:kern w:val="0"/>
                <w:sz w:val="21"/>
                <w:szCs w:val="21"/>
                <w:highlight w:val="none"/>
                <w:u w:val="none"/>
                <w:lang w:val="en-US" w:eastAsia="zh-CN" w:bidi="ar"/>
              </w:rPr>
              <w:t>来为私募基金管理人提供常年法律顾问服务，或者为私募基金投资提供专项法律服务，每一个得2分</w:t>
            </w:r>
            <w:r>
              <w:rPr>
                <w:rFonts w:hint="eastAsia" w:ascii="宋体" w:hAnsi="宋体" w:cs="宋体"/>
                <w:i w:val="0"/>
                <w:iCs w:val="0"/>
                <w:color w:val="000000"/>
                <w:kern w:val="0"/>
                <w:sz w:val="21"/>
                <w:szCs w:val="21"/>
                <w:highlight w:val="none"/>
                <w:u w:val="none"/>
                <w:lang w:val="en-US" w:eastAsia="zh-CN" w:bidi="ar"/>
              </w:rPr>
              <w:t>；2021年来为公司IPO上市提供专项法律服务，或者为上市公司提供常年法律顾问服务，或者为上市公司投资并购、资产重组提供专项法律服务，每有一个得1分，本项不超过3分；2021年来提供与股权投资相关的</w:t>
            </w:r>
            <w:r>
              <w:rPr>
                <w:rFonts w:hint="eastAsia" w:ascii="宋体" w:hAnsi="宋体" w:cs="宋体"/>
                <w:color w:val="000000"/>
                <w:kern w:val="0"/>
                <w:szCs w:val="21"/>
                <w:highlight w:val="none"/>
                <w:lang w:val="en-US" w:eastAsia="zh-CN" w:bidi="ar"/>
              </w:rPr>
              <w:t>投后管理或退出事项</w:t>
            </w:r>
            <w:r>
              <w:rPr>
                <w:rFonts w:hint="eastAsia" w:ascii="宋体" w:hAnsi="宋体" w:cs="宋体"/>
                <w:color w:val="000000"/>
                <w:kern w:val="0"/>
                <w:szCs w:val="21"/>
                <w:highlight w:val="none"/>
                <w:lang w:bidi="ar"/>
              </w:rPr>
              <w:t>的代理</w:t>
            </w:r>
            <w:r>
              <w:rPr>
                <w:rFonts w:hint="eastAsia" w:ascii="宋体" w:hAnsi="宋体" w:cs="宋体"/>
                <w:i w:val="0"/>
                <w:iCs w:val="0"/>
                <w:color w:val="000000"/>
                <w:kern w:val="0"/>
                <w:sz w:val="21"/>
                <w:szCs w:val="21"/>
                <w:highlight w:val="none"/>
                <w:u w:val="none"/>
                <w:lang w:val="en-US" w:eastAsia="zh-CN" w:bidi="ar"/>
              </w:rPr>
              <w:t>服务，每有一个得1分，本项不超过3分。</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顾问</w:t>
            </w:r>
            <w:r>
              <w:rPr>
                <w:rFonts w:hint="eastAsia" w:ascii="宋体" w:hAnsi="宋体" w:eastAsia="宋体" w:cs="宋体"/>
                <w:i w:val="0"/>
                <w:iCs w:val="0"/>
                <w:color w:val="000000"/>
                <w:kern w:val="0"/>
                <w:sz w:val="21"/>
                <w:szCs w:val="21"/>
                <w:highlight w:val="none"/>
                <w:u w:val="none"/>
                <w:lang w:val="en-US" w:eastAsia="zh-CN" w:bidi="ar"/>
              </w:rPr>
              <w:t>合同</w:t>
            </w:r>
            <w:r>
              <w:rPr>
                <w:rFonts w:hint="eastAsia" w:ascii="宋体" w:hAnsi="宋体" w:cs="宋体"/>
                <w:i w:val="0"/>
                <w:iCs w:val="0"/>
                <w:color w:val="000000"/>
                <w:kern w:val="0"/>
                <w:sz w:val="21"/>
                <w:szCs w:val="21"/>
                <w:highlight w:val="none"/>
                <w:u w:val="none"/>
                <w:lang w:val="en-US" w:eastAsia="zh-CN" w:bidi="ar"/>
              </w:rPr>
              <w:t>及相关文件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服务方案</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w:t>
            </w: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采购</w:t>
            </w:r>
            <w:r>
              <w:rPr>
                <w:rFonts w:hint="eastAsia" w:ascii="宋体" w:hAnsi="宋体" w:eastAsia="宋体" w:cs="宋体"/>
                <w:i w:val="0"/>
                <w:iCs w:val="0"/>
                <w:color w:val="000000"/>
                <w:kern w:val="0"/>
                <w:sz w:val="21"/>
                <w:szCs w:val="21"/>
                <w:highlight w:val="none"/>
                <w:u w:val="none"/>
                <w:lang w:val="en-US" w:eastAsia="zh-CN" w:bidi="ar"/>
              </w:rPr>
              <w:t>人针对服务方案进行评分，重点考察服务方式、服务质量、服务响应时效等内容。履行合同能力强：</w:t>
            </w:r>
            <w:r>
              <w:rPr>
                <w:rFonts w:hint="eastAsia" w:ascii="宋体" w:hAnsi="宋体" w:cs="宋体"/>
                <w:i w:val="0"/>
                <w:iCs w:val="0"/>
                <w:color w:val="000000"/>
                <w:kern w:val="0"/>
                <w:sz w:val="21"/>
                <w:szCs w:val="21"/>
                <w:highlight w:val="none"/>
                <w:u w:val="none"/>
                <w:lang w:val="en-US" w:eastAsia="zh-CN" w:bidi="ar"/>
              </w:rPr>
              <w:t>15</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0分；较强：</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5分；基本能履行：</w:t>
            </w:r>
            <w:r>
              <w:rPr>
                <w:rFonts w:hint="eastAsia" w:ascii="宋体" w:hAnsi="宋体" w:cs="宋体"/>
                <w:i w:val="0"/>
                <w:iCs w:val="0"/>
                <w:color w:val="000000"/>
                <w:kern w:val="0"/>
                <w:sz w:val="21"/>
                <w:szCs w:val="21"/>
                <w:highlight w:val="none"/>
                <w:u w:val="none"/>
                <w:lang w:val="en-US" w:eastAsia="zh-CN" w:bidi="ar"/>
              </w:rPr>
              <w:t>5-1</w:t>
            </w:r>
            <w:r>
              <w:rPr>
                <w:rFonts w:hint="eastAsia" w:ascii="宋体" w:hAnsi="宋体" w:eastAsia="宋体" w:cs="宋体"/>
                <w:i w:val="0"/>
                <w:iCs w:val="0"/>
                <w:color w:val="000000"/>
                <w:kern w:val="0"/>
                <w:sz w:val="21"/>
                <w:szCs w:val="21"/>
                <w:highlight w:val="none"/>
                <w:u w:val="none"/>
                <w:lang w:val="en-US" w:eastAsia="zh-CN" w:bidi="ar"/>
              </w:rPr>
              <w:t>0分；不能履行得0分。</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竞争性谈判</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0</w:t>
            </w: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一是</w:t>
            </w:r>
            <w:r>
              <w:rPr>
                <w:rFonts w:hint="eastAsia" w:ascii="宋体" w:hAnsi="宋体" w:eastAsia="宋体" w:cs="宋体"/>
                <w:i w:val="0"/>
                <w:iCs w:val="0"/>
                <w:color w:val="000000"/>
                <w:kern w:val="0"/>
                <w:sz w:val="21"/>
                <w:szCs w:val="21"/>
                <w:highlight w:val="none"/>
                <w:u w:val="none"/>
                <w:lang w:val="en-US" w:eastAsia="zh-CN" w:bidi="ar"/>
              </w:rPr>
              <w:t>主办律师对服务方案进行2分钟的现场陈述</w:t>
            </w:r>
            <w:r>
              <w:rPr>
                <w:rFonts w:hint="eastAsia" w:ascii="宋体" w:hAnsi="宋体" w:cs="宋体"/>
                <w:i w:val="0"/>
                <w:iCs w:val="0"/>
                <w:color w:val="000000"/>
                <w:kern w:val="0"/>
                <w:sz w:val="21"/>
                <w:szCs w:val="21"/>
                <w:highlight w:val="none"/>
                <w:u w:val="none"/>
                <w:lang w:val="en-US" w:eastAsia="zh-CN" w:bidi="ar"/>
              </w:rPr>
              <w:t>；二是</w:t>
            </w:r>
            <w:r>
              <w:rPr>
                <w:rFonts w:hint="eastAsia" w:ascii="宋体" w:hAnsi="宋体" w:eastAsia="宋体" w:cs="宋体"/>
                <w:i w:val="0"/>
                <w:iCs w:val="0"/>
                <w:color w:val="000000"/>
                <w:kern w:val="0"/>
                <w:sz w:val="21"/>
                <w:szCs w:val="21"/>
                <w:highlight w:val="none"/>
                <w:u w:val="none"/>
                <w:lang w:val="en-US" w:eastAsia="zh-CN" w:bidi="ar"/>
              </w:rPr>
              <w:t>结合实例，对政府引导基金和基金管理人的制度建设和合规管理的建议，</w:t>
            </w:r>
            <w:r>
              <w:rPr>
                <w:rFonts w:hint="eastAsia" w:ascii="宋体" w:hAnsi="宋体" w:cs="宋体"/>
                <w:i w:val="0"/>
                <w:iCs w:val="0"/>
                <w:color w:val="000000"/>
                <w:kern w:val="0"/>
                <w:sz w:val="21"/>
                <w:szCs w:val="21"/>
                <w:highlight w:val="none"/>
                <w:u w:val="none"/>
                <w:lang w:val="en-US" w:eastAsia="zh-CN" w:bidi="ar"/>
              </w:rPr>
              <w:t>进行不超过10</w:t>
            </w:r>
            <w:r>
              <w:rPr>
                <w:rFonts w:hint="eastAsia" w:ascii="宋体" w:hAnsi="宋体" w:eastAsia="宋体" w:cs="宋体"/>
                <w:i w:val="0"/>
                <w:iCs w:val="0"/>
                <w:color w:val="000000"/>
                <w:kern w:val="0"/>
                <w:sz w:val="21"/>
                <w:szCs w:val="21"/>
                <w:highlight w:val="none"/>
                <w:u w:val="none"/>
                <w:lang w:val="en-US" w:eastAsia="zh-CN" w:bidi="ar"/>
              </w:rPr>
              <w:t>分钟的现场陈述；三是结合实例，说明成功处置</w:t>
            </w:r>
            <w:r>
              <w:rPr>
                <w:rFonts w:hint="eastAsia" w:ascii="宋体" w:hAnsi="宋体" w:cs="宋体"/>
                <w:color w:val="000000"/>
                <w:kern w:val="0"/>
                <w:szCs w:val="21"/>
                <w:highlight w:val="none"/>
                <w:u w:val="none"/>
                <w:lang w:bidi="ar"/>
              </w:rPr>
              <w:t>股权转让（含股权回购）</w:t>
            </w:r>
            <w:r>
              <w:rPr>
                <w:rFonts w:hint="eastAsia" w:ascii="宋体" w:hAnsi="宋体" w:cs="宋体"/>
                <w:color w:val="000000"/>
                <w:kern w:val="0"/>
                <w:szCs w:val="21"/>
                <w:highlight w:val="none"/>
                <w:u w:val="none"/>
                <w:lang w:val="en-US" w:eastAsia="zh-CN" w:bidi="ar"/>
              </w:rPr>
              <w:t>纠纷的</w:t>
            </w:r>
            <w:r>
              <w:rPr>
                <w:rFonts w:hint="eastAsia" w:ascii="宋体" w:hAnsi="宋体" w:eastAsia="宋体" w:cs="宋体"/>
                <w:i w:val="0"/>
                <w:iCs w:val="0"/>
                <w:color w:val="000000"/>
                <w:kern w:val="0"/>
                <w:sz w:val="21"/>
                <w:szCs w:val="21"/>
                <w:highlight w:val="none"/>
                <w:u w:val="none"/>
                <w:lang w:val="en-US" w:eastAsia="zh-CN" w:bidi="ar"/>
              </w:rPr>
              <w:t>风险化解经验及反思，</w:t>
            </w:r>
            <w:r>
              <w:rPr>
                <w:rFonts w:hint="eastAsia" w:ascii="宋体" w:hAnsi="宋体" w:cs="宋体"/>
                <w:i w:val="0"/>
                <w:iCs w:val="0"/>
                <w:color w:val="000000"/>
                <w:kern w:val="0"/>
                <w:sz w:val="21"/>
                <w:szCs w:val="21"/>
                <w:highlight w:val="none"/>
                <w:u w:val="none"/>
                <w:lang w:val="en-US" w:eastAsia="zh-CN" w:bidi="ar"/>
              </w:rPr>
              <w:t>进行不超过10</w:t>
            </w:r>
            <w:r>
              <w:rPr>
                <w:rFonts w:hint="eastAsia" w:ascii="宋体" w:hAnsi="宋体" w:eastAsia="宋体" w:cs="宋体"/>
                <w:i w:val="0"/>
                <w:iCs w:val="0"/>
                <w:color w:val="000000"/>
                <w:kern w:val="0"/>
                <w:sz w:val="21"/>
                <w:szCs w:val="21"/>
                <w:highlight w:val="none"/>
                <w:u w:val="none"/>
                <w:lang w:val="en-US" w:eastAsia="zh-CN" w:bidi="ar"/>
              </w:rPr>
              <w:t>分钟的现场陈述。四是</w:t>
            </w:r>
            <w:r>
              <w:rPr>
                <w:rFonts w:hint="eastAsia" w:ascii="宋体" w:hAnsi="宋体" w:eastAsia="宋体" w:cs="宋体"/>
                <w:color w:val="000000"/>
                <w:kern w:val="0"/>
                <w:szCs w:val="21"/>
                <w:highlight w:val="none"/>
                <w:u w:val="none"/>
                <w:lang w:val="en-US" w:eastAsia="zh-CN" w:bidi="ar"/>
              </w:rPr>
              <w:t>双方就</w:t>
            </w:r>
            <w:r>
              <w:rPr>
                <w:rFonts w:hint="eastAsia" w:ascii="宋体" w:hAnsi="宋体" w:eastAsia="宋体" w:cs="宋体"/>
                <w:color w:val="000000"/>
                <w:kern w:val="0"/>
                <w:szCs w:val="21"/>
                <w:highlight w:val="none"/>
                <w:u w:val="none"/>
                <w:lang w:bidi="ar"/>
              </w:rPr>
              <w:t>价格、服务条款、合同细节等内容</w:t>
            </w:r>
            <w:r>
              <w:rPr>
                <w:rFonts w:hint="eastAsia" w:ascii="宋体" w:hAnsi="宋体" w:eastAsia="宋体" w:cs="宋体"/>
                <w:color w:val="000000"/>
                <w:kern w:val="0"/>
                <w:szCs w:val="21"/>
                <w:highlight w:val="none"/>
                <w:u w:val="none"/>
                <w:lang w:val="en-US" w:eastAsia="zh-CN" w:bidi="ar"/>
              </w:rPr>
              <w:t>进行谈判确认</w:t>
            </w:r>
            <w:r>
              <w:rPr>
                <w:rFonts w:hint="eastAsia" w:ascii="宋体" w:hAnsi="宋体" w:eastAsia="宋体" w:cs="宋体"/>
                <w:color w:val="000000"/>
                <w:kern w:val="0"/>
                <w:szCs w:val="21"/>
                <w:highlight w:val="none"/>
                <w:u w:val="none"/>
                <w:lang w:eastAsia="zh-CN" w:bidi="ar"/>
              </w:rPr>
              <w:t>。</w:t>
            </w:r>
            <w:r>
              <w:rPr>
                <w:rFonts w:hint="eastAsia" w:ascii="宋体" w:hAnsi="宋体" w:eastAsia="宋体" w:cs="宋体"/>
                <w:color w:val="000000"/>
                <w:kern w:val="0"/>
                <w:szCs w:val="21"/>
                <w:highlight w:val="none"/>
                <w:u w:val="none"/>
                <w:lang w:val="en-US" w:eastAsia="zh-CN" w:bidi="ar"/>
              </w:rPr>
              <w:t>优</w:t>
            </w:r>
            <w:r>
              <w:rPr>
                <w:rFonts w:hint="eastAsia" w:ascii="宋体" w:hAnsi="宋体" w:eastAsia="宋体" w:cs="宋体"/>
                <w:i w:val="0"/>
                <w:iCs w:val="0"/>
                <w:color w:val="000000"/>
                <w:kern w:val="0"/>
                <w:sz w:val="21"/>
                <w:szCs w:val="21"/>
                <w:highlight w:val="none"/>
                <w:u w:val="none"/>
                <w:lang w:val="en-US" w:eastAsia="zh-CN" w:bidi="ar"/>
              </w:rPr>
              <w:t>秀：</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5-</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0分，较好：</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5分，一般</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5-</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0分，</w:t>
            </w:r>
            <w:r>
              <w:rPr>
                <w:rFonts w:hint="eastAsia" w:ascii="宋体" w:hAnsi="宋体" w:cs="宋体"/>
                <w:i w:val="0"/>
                <w:iCs w:val="0"/>
                <w:color w:val="000000"/>
                <w:kern w:val="0"/>
                <w:sz w:val="21"/>
                <w:szCs w:val="21"/>
                <w:highlight w:val="none"/>
                <w:u w:val="none"/>
                <w:lang w:val="en-US" w:eastAsia="zh-CN" w:bidi="ar"/>
              </w:rPr>
              <w:t>合格1</w:t>
            </w:r>
            <w:r>
              <w:rPr>
                <w:rFonts w:hint="eastAsia" w:ascii="宋体" w:hAnsi="宋体" w:eastAsia="宋体" w:cs="宋体"/>
                <w:i w:val="0"/>
                <w:iCs w:val="0"/>
                <w:color w:val="000000"/>
                <w:kern w:val="0"/>
                <w:sz w:val="21"/>
                <w:szCs w:val="21"/>
                <w:highlight w:val="none"/>
                <w:u w:val="none"/>
                <w:lang w:val="en-US" w:eastAsia="zh-CN" w:bidi="ar"/>
              </w:rPr>
              <w:t>0-</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5分</w:t>
            </w:r>
            <w:r>
              <w:rPr>
                <w:rFonts w:hint="eastAsia" w:ascii="宋体" w:hAnsi="宋体" w:cs="宋体"/>
                <w:i w:val="0"/>
                <w:iCs w:val="0"/>
                <w:color w:val="000000"/>
                <w:kern w:val="0"/>
                <w:sz w:val="21"/>
                <w:szCs w:val="21"/>
                <w:highlight w:val="none"/>
                <w:u w:val="none"/>
                <w:lang w:val="en-US" w:eastAsia="zh-CN" w:bidi="ar"/>
              </w:rPr>
              <w:t>，较差0-10分</w:t>
            </w:r>
            <w:r>
              <w:rPr>
                <w:rFonts w:hint="eastAsia" w:ascii="宋体" w:hAnsi="宋体" w:eastAsia="宋体" w:cs="宋体"/>
                <w:i w:val="0"/>
                <w:iCs w:val="0"/>
                <w:color w:val="000000"/>
                <w:kern w:val="0"/>
                <w:sz w:val="21"/>
                <w:szCs w:val="21"/>
                <w:highlight w:val="none"/>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highlight w:val="none"/>
                <w:u w:val="none"/>
              </w:rPr>
            </w:pP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现场陈述PPT和竞争性谈判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总计</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w:t>
            </w:r>
          </w:p>
        </w:tc>
        <w:tc>
          <w:tcPr>
            <w:tcW w:w="29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综合评议：</w:t>
            </w:r>
          </w:p>
        </w:tc>
        <w:tc>
          <w:tcPr>
            <w:tcW w:w="417"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584"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highlight w:val="none"/>
                <w:u w:val="none"/>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三、评审小组组成：</w:t>
      </w:r>
    </w:p>
    <w:p>
      <w:pPr>
        <w:pStyle w:val="2"/>
        <w:numPr>
          <w:ilvl w:val="0"/>
          <w:numId w:val="0"/>
        </w:numPr>
        <w:spacing w:line="560" w:lineRule="exact"/>
        <w:ind w:firstLine="640" w:firstLineChars="200"/>
        <w:rPr>
          <w:rFonts w:hint="eastAsia" w:ascii="仿宋_GB2312" w:hAnsi="仿宋_GB2312" w:eastAsia="仿宋_GB2312" w:cs="仿宋_GB2312"/>
          <w:sz w:val="32"/>
          <w:szCs w:val="32"/>
          <w:highlight w:val="none"/>
        </w:rPr>
        <w:sectPr>
          <w:footerReference r:id="rId3" w:type="default"/>
          <w:pgSz w:w="16838" w:h="11906" w:orient="landscape"/>
          <w:pgMar w:top="1800" w:right="1440" w:bottom="180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评审小组由公司投资部、业务管理部、综合管理部和风控合规部人员组成，纪检监察人员进行全程监督。</w:t>
      </w:r>
    </w:p>
    <w:p>
      <w:pPr>
        <w:pStyle w:val="3"/>
        <w:numPr>
          <w:ilvl w:val="-1"/>
          <w:numId w:val="0"/>
        </w:numPr>
        <w:spacing w:line="560" w:lineRule="exact"/>
        <w:ind w:left="0"/>
        <w:jc w:val="center"/>
        <w:rPr>
          <w:rFonts w:hint="eastAsia" w:ascii="黑体" w:hAnsi="黑体" w:eastAsia="黑体" w:cs="黑体"/>
          <w:bCs w:val="0"/>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rPr>
        <w:t>章 响应文件格式</w:t>
      </w:r>
    </w:p>
    <w:p>
      <w:pPr>
        <w:adjustRightInd w:val="0"/>
        <w:snapToGrid w:val="0"/>
        <w:spacing w:line="576" w:lineRule="exact"/>
        <w:ind w:firstLine="640" w:firstLineChars="200"/>
        <w:jc w:val="left"/>
        <w:rPr>
          <w:rFonts w:ascii="Times New Roman" w:hAnsi="Times New Roman" w:eastAsia="方正小标宋简体" w:cs="方正小标宋简体"/>
          <w:bCs/>
          <w:sz w:val="32"/>
          <w:szCs w:val="32"/>
          <w:highlight w:val="none"/>
        </w:rPr>
      </w:pPr>
      <w:r>
        <w:rPr>
          <w:rFonts w:hint="eastAsia" w:ascii="Times New Roman" w:hAnsi="Times New Roman" w:eastAsia="方正小标宋简体" w:cs="方正小标宋简体"/>
          <w:bCs/>
          <w:sz w:val="32"/>
          <w:szCs w:val="32"/>
          <w:highlight w:val="none"/>
        </w:rPr>
        <w:t>项目编号：                      （正本/副本）</w:t>
      </w:r>
    </w:p>
    <w:p>
      <w:pPr>
        <w:pStyle w:val="2"/>
        <w:adjustRightInd w:val="0"/>
        <w:snapToGrid w:val="0"/>
        <w:spacing w:line="576" w:lineRule="exact"/>
        <w:ind w:firstLine="640" w:firstLineChars="200"/>
        <w:rPr>
          <w:rFonts w:ascii="Times New Roman" w:hAnsi="Times New Roman" w:eastAsia="方正小标宋简体" w:cs="方正小标宋简体"/>
          <w:bCs/>
          <w:sz w:val="32"/>
          <w:szCs w:val="32"/>
          <w:highlight w:val="none"/>
        </w:rPr>
      </w:pPr>
    </w:p>
    <w:p>
      <w:pPr>
        <w:adjustRightInd w:val="0"/>
        <w:snapToGrid w:val="0"/>
        <w:spacing w:line="576" w:lineRule="exact"/>
        <w:ind w:firstLine="870" w:firstLineChars="200"/>
        <w:jc w:val="center"/>
        <w:rPr>
          <w:rFonts w:ascii="Times New Roman" w:hAnsi="Times New Roman" w:eastAsia="方正小标宋简体" w:cs="方正小标宋简体"/>
          <w:bCs/>
          <w:sz w:val="44"/>
          <w:szCs w:val="44"/>
          <w:highlight w:val="none"/>
        </w:rPr>
      </w:pPr>
      <w:r>
        <w:rPr>
          <w:rFonts w:hint="eastAsia" w:ascii="方正小标宋简体" w:hAnsi="方正小标宋简体" w:eastAsia="方正小标宋简体" w:cs="方正小标宋简体"/>
          <w:w w:val="99"/>
          <w:kern w:val="0"/>
          <w:sz w:val="44"/>
          <w:szCs w:val="44"/>
          <w:highlight w:val="none"/>
          <w:u w:val="none"/>
          <w:lang w:val="en-US" w:eastAsia="zh-CN"/>
        </w:rPr>
        <w:t>2025-2026年度常年</w:t>
      </w:r>
      <w:r>
        <w:rPr>
          <w:rFonts w:hint="eastAsia" w:ascii="方正小标宋简体" w:hAnsi="方正小标宋简体" w:eastAsia="方正小标宋简体" w:cs="方正小标宋简体"/>
          <w:w w:val="99"/>
          <w:kern w:val="0"/>
          <w:sz w:val="44"/>
          <w:szCs w:val="44"/>
          <w:highlight w:val="none"/>
          <w:u w:val="none"/>
        </w:rPr>
        <w:t>法律顾问</w:t>
      </w:r>
      <w:r>
        <w:rPr>
          <w:rFonts w:hint="eastAsia" w:ascii="方正小标宋简体" w:hAnsi="方正小标宋简体" w:eastAsia="方正小标宋简体" w:cs="方正小标宋简体"/>
          <w:w w:val="99"/>
          <w:kern w:val="0"/>
          <w:sz w:val="44"/>
          <w:szCs w:val="44"/>
          <w:highlight w:val="none"/>
          <w:u w:val="none"/>
          <w:lang w:val="en-US" w:eastAsia="zh-CN"/>
        </w:rPr>
        <w:t>服务机构选聘</w:t>
      </w:r>
    </w:p>
    <w:p>
      <w:pPr>
        <w:adjustRightInd w:val="0"/>
        <w:snapToGrid w:val="0"/>
        <w:spacing w:line="576" w:lineRule="exact"/>
        <w:ind w:firstLine="880" w:firstLineChars="200"/>
        <w:rPr>
          <w:rFonts w:ascii="Times New Roman" w:hAnsi="Times New Roman" w:eastAsia="方正小标宋简体" w:cs="方正小标宋简体"/>
          <w:bCs/>
          <w:sz w:val="44"/>
          <w:szCs w:val="44"/>
          <w:highlight w:val="none"/>
        </w:rPr>
      </w:pPr>
    </w:p>
    <w:p>
      <w:pPr>
        <w:pStyle w:val="2"/>
        <w:rPr>
          <w:rFonts w:ascii="Times New Roman" w:hAnsi="Times New Roman" w:eastAsia="方正小标宋简体" w:cs="方正小标宋简体"/>
          <w:bCs/>
          <w:sz w:val="44"/>
          <w:szCs w:val="44"/>
          <w:highlight w:val="none"/>
        </w:rPr>
      </w:pPr>
    </w:p>
    <w:p>
      <w:pPr>
        <w:rPr>
          <w:rFonts w:ascii="Times New Roman" w:hAnsi="Times New Roman" w:eastAsia="方正小标宋简体" w:cs="方正小标宋简体"/>
          <w:bCs/>
          <w:sz w:val="44"/>
          <w:szCs w:val="44"/>
          <w:highlight w:val="none"/>
        </w:rPr>
      </w:pPr>
    </w:p>
    <w:p>
      <w:pPr>
        <w:pStyle w:val="2"/>
      </w:pPr>
    </w:p>
    <w:p>
      <w:pPr>
        <w:rPr>
          <w:highlight w:val="none"/>
        </w:rPr>
      </w:pPr>
    </w:p>
    <w:p>
      <w:pPr>
        <w:adjustRightInd w:val="0"/>
        <w:snapToGrid w:val="0"/>
        <w:spacing w:line="576" w:lineRule="exact"/>
        <w:ind w:firstLine="880" w:firstLineChars="200"/>
        <w:jc w:val="center"/>
        <w:rPr>
          <w:rFonts w:ascii="Times New Roman" w:hAnsi="Times New Roman" w:eastAsia="方正小标宋简体" w:cs="方正小标宋简体"/>
          <w:bCs/>
          <w:sz w:val="44"/>
          <w:szCs w:val="44"/>
          <w:highlight w:val="none"/>
        </w:rPr>
      </w:pPr>
      <w:bookmarkStart w:id="12" w:name="OLE_LINK11"/>
      <w:r>
        <w:rPr>
          <w:rFonts w:hint="eastAsia" w:ascii="方正小标宋_GBK" w:hAnsi="方正小标宋_GBK" w:eastAsia="方正小标宋_GBK" w:cs="方正小标宋_GBK"/>
          <w:sz w:val="44"/>
          <w:szCs w:val="44"/>
          <w:highlight w:val="none"/>
          <w:lang w:val="en-US" w:eastAsia="zh-CN"/>
        </w:rPr>
        <w:t>竞争性谈判</w:t>
      </w:r>
      <w:bookmarkEnd w:id="12"/>
      <w:r>
        <w:rPr>
          <w:rFonts w:hint="eastAsia" w:ascii="Times New Roman" w:hAnsi="Times New Roman" w:eastAsia="方正小标宋简体" w:cs="方正小标宋简体"/>
          <w:bCs/>
          <w:sz w:val="44"/>
          <w:szCs w:val="44"/>
          <w:highlight w:val="none"/>
        </w:rPr>
        <w:t>响应文件</w:t>
      </w:r>
    </w:p>
    <w:p>
      <w:pPr>
        <w:adjustRightInd w:val="0"/>
        <w:snapToGrid w:val="0"/>
        <w:spacing w:line="576" w:lineRule="exact"/>
        <w:ind w:firstLine="880" w:firstLineChars="200"/>
        <w:rPr>
          <w:rFonts w:ascii="Times New Roman" w:hAnsi="Times New Roman" w:eastAsia="方正小标宋简体" w:cs="方正小标宋简体"/>
          <w:bCs/>
          <w:sz w:val="44"/>
          <w:szCs w:val="44"/>
          <w:highlight w:val="none"/>
        </w:rPr>
      </w:pPr>
    </w:p>
    <w:p>
      <w:pPr>
        <w:pStyle w:val="2"/>
        <w:rPr>
          <w:rFonts w:ascii="Times New Roman" w:hAnsi="Times New Roman" w:eastAsia="方正小标宋简体" w:cs="方正小标宋简体"/>
          <w:bCs/>
          <w:sz w:val="44"/>
          <w:szCs w:val="44"/>
          <w:highlight w:val="none"/>
        </w:rPr>
      </w:pPr>
    </w:p>
    <w:p>
      <w:pPr>
        <w:rPr>
          <w:rFonts w:ascii="Times New Roman" w:hAnsi="Times New Roman" w:eastAsia="方正小标宋简体" w:cs="方正小标宋简体"/>
          <w:bCs/>
          <w:sz w:val="44"/>
          <w:szCs w:val="44"/>
          <w:highlight w:val="none"/>
        </w:rPr>
      </w:pPr>
    </w:p>
    <w:p>
      <w:pPr>
        <w:pStyle w:val="2"/>
      </w:pPr>
    </w:p>
    <w:p>
      <w:pPr>
        <w:rPr>
          <w:highlight w:val="none"/>
        </w:rPr>
      </w:pPr>
    </w:p>
    <w:p>
      <w:pPr>
        <w:adjustRightInd w:val="0"/>
        <w:snapToGrid w:val="0"/>
        <w:spacing w:line="576" w:lineRule="exact"/>
        <w:ind w:firstLine="640" w:firstLineChars="200"/>
        <w:rPr>
          <w:rFonts w:ascii="Times New Roman" w:hAnsi="Times New Roman" w:eastAsia="方正小标宋简体" w:cs="方正小标宋简体"/>
          <w:bCs/>
          <w:sz w:val="32"/>
          <w:szCs w:val="32"/>
          <w:highlight w:val="none"/>
          <w:u w:val="single"/>
        </w:rPr>
      </w:pPr>
      <w:r>
        <w:rPr>
          <w:rFonts w:hint="eastAsia" w:ascii="Times New Roman" w:hAnsi="Times New Roman" w:eastAsia="方正小标宋简体" w:cs="方正小标宋简体"/>
          <w:bCs/>
          <w:sz w:val="32"/>
          <w:szCs w:val="32"/>
          <w:highlight w:val="none"/>
        </w:rPr>
        <w:t>响应人：</w:t>
      </w:r>
      <w:r>
        <w:rPr>
          <w:rFonts w:hint="eastAsia" w:ascii="Times New Roman" w:hAnsi="Times New Roman" w:eastAsia="方正小标宋简体" w:cs="方正小标宋简体"/>
          <w:bCs/>
          <w:sz w:val="32"/>
          <w:szCs w:val="32"/>
          <w:highlight w:val="none"/>
          <w:u w:val="single"/>
        </w:rPr>
        <w:t xml:space="preserve">                              </w:t>
      </w:r>
      <w:r>
        <w:rPr>
          <w:rFonts w:hint="eastAsia" w:ascii="Times New Roman" w:hAnsi="Times New Roman" w:eastAsia="方正小标宋简体" w:cs="方正小标宋简体"/>
          <w:bCs/>
          <w:sz w:val="32"/>
          <w:szCs w:val="32"/>
          <w:highlight w:val="none"/>
        </w:rPr>
        <w:t>（盖单位章）</w:t>
      </w:r>
    </w:p>
    <w:p>
      <w:pPr>
        <w:adjustRightInd w:val="0"/>
        <w:snapToGrid w:val="0"/>
        <w:spacing w:line="576" w:lineRule="exact"/>
        <w:ind w:firstLine="640" w:firstLineChars="200"/>
        <w:rPr>
          <w:rFonts w:ascii="Times New Roman" w:hAnsi="Times New Roman" w:eastAsia="方正小标宋简体" w:cs="方正小标宋简体"/>
          <w:bCs/>
          <w:sz w:val="32"/>
          <w:szCs w:val="32"/>
          <w:highlight w:val="none"/>
        </w:rPr>
      </w:pPr>
      <w:r>
        <w:rPr>
          <w:rFonts w:hint="eastAsia" w:ascii="Times New Roman" w:hAnsi="Times New Roman" w:eastAsia="方正小标宋简体" w:cs="方正小标宋简体"/>
          <w:bCs/>
          <w:sz w:val="32"/>
          <w:szCs w:val="32"/>
          <w:highlight w:val="none"/>
        </w:rPr>
        <w:t>法定代表人或其授权委托代理人：</w:t>
      </w:r>
      <w:r>
        <w:rPr>
          <w:rFonts w:hint="eastAsia" w:ascii="Times New Roman" w:hAnsi="Times New Roman" w:eastAsia="方正小标宋简体" w:cs="方正小标宋简体"/>
          <w:bCs/>
          <w:sz w:val="32"/>
          <w:szCs w:val="32"/>
          <w:highlight w:val="none"/>
          <w:u w:val="single"/>
        </w:rPr>
        <w:t xml:space="preserve">           </w:t>
      </w:r>
      <w:r>
        <w:rPr>
          <w:rFonts w:hint="eastAsia" w:ascii="Times New Roman" w:hAnsi="Times New Roman" w:eastAsia="方正小标宋简体" w:cs="方正小标宋简体"/>
          <w:bCs/>
          <w:sz w:val="32"/>
          <w:szCs w:val="32"/>
          <w:highlight w:val="none"/>
        </w:rPr>
        <w:t>（签字）</w:t>
      </w:r>
    </w:p>
    <w:p>
      <w:pPr>
        <w:adjustRightInd w:val="0"/>
        <w:snapToGrid w:val="0"/>
        <w:spacing w:line="576" w:lineRule="exact"/>
        <w:ind w:firstLine="640" w:firstLineChars="200"/>
        <w:jc w:val="center"/>
        <w:rPr>
          <w:rFonts w:ascii="Times New Roman" w:hAnsi="Times New Roman" w:eastAsia="方正小标宋简体" w:cs="方正小标宋简体"/>
          <w:bCs/>
          <w:sz w:val="32"/>
          <w:szCs w:val="32"/>
          <w:highlight w:val="none"/>
        </w:rPr>
      </w:pPr>
    </w:p>
    <w:p>
      <w:pPr>
        <w:adjustRightInd w:val="0"/>
        <w:snapToGrid w:val="0"/>
        <w:spacing w:line="576" w:lineRule="exact"/>
        <w:ind w:firstLine="640" w:firstLineChars="200"/>
        <w:jc w:val="center"/>
        <w:rPr>
          <w:rFonts w:ascii="Times New Roman" w:hAnsi="Times New Roman" w:eastAsia="方正小标宋简体" w:cs="方正小标宋简体"/>
          <w:bCs/>
          <w:sz w:val="32"/>
          <w:szCs w:val="32"/>
          <w:highlight w:val="none"/>
        </w:rPr>
      </w:pPr>
      <w:r>
        <w:rPr>
          <w:rFonts w:hint="eastAsia" w:ascii="Times New Roman" w:hAnsi="Times New Roman" w:eastAsia="方正小标宋简体" w:cs="方正小标宋简体"/>
          <w:bCs/>
          <w:sz w:val="32"/>
          <w:szCs w:val="32"/>
          <w:highlight w:val="none"/>
        </w:rPr>
        <w:t>日期：</w:t>
      </w:r>
      <w:r>
        <w:rPr>
          <w:rFonts w:hint="eastAsia" w:ascii="Times New Roman" w:hAnsi="Times New Roman" w:eastAsia="方正小标宋简体" w:cs="方正小标宋简体"/>
          <w:bCs/>
          <w:sz w:val="32"/>
          <w:szCs w:val="32"/>
          <w:highlight w:val="none"/>
          <w:u w:val="single"/>
        </w:rPr>
        <w:t xml:space="preserve">      </w:t>
      </w:r>
      <w:r>
        <w:rPr>
          <w:rFonts w:hint="eastAsia" w:ascii="Times New Roman" w:hAnsi="Times New Roman" w:eastAsia="方正小标宋简体" w:cs="方正小标宋简体"/>
          <w:bCs/>
          <w:sz w:val="32"/>
          <w:szCs w:val="32"/>
          <w:highlight w:val="none"/>
        </w:rPr>
        <w:t>年</w:t>
      </w:r>
      <w:r>
        <w:rPr>
          <w:rFonts w:hint="eastAsia" w:ascii="Times New Roman" w:hAnsi="Times New Roman" w:eastAsia="方正小标宋简体" w:cs="方正小标宋简体"/>
          <w:bCs/>
          <w:sz w:val="32"/>
          <w:szCs w:val="32"/>
          <w:highlight w:val="none"/>
          <w:u w:val="single"/>
        </w:rPr>
        <w:t xml:space="preserve">      </w:t>
      </w:r>
      <w:r>
        <w:rPr>
          <w:rFonts w:hint="eastAsia" w:ascii="Times New Roman" w:hAnsi="Times New Roman" w:eastAsia="方正小标宋简体" w:cs="方正小标宋简体"/>
          <w:bCs/>
          <w:sz w:val="32"/>
          <w:szCs w:val="32"/>
          <w:highlight w:val="none"/>
        </w:rPr>
        <w:t>月</w:t>
      </w:r>
      <w:r>
        <w:rPr>
          <w:rFonts w:hint="eastAsia" w:ascii="Times New Roman" w:hAnsi="Times New Roman" w:eastAsia="方正小标宋简体" w:cs="方正小标宋简体"/>
          <w:bCs/>
          <w:sz w:val="32"/>
          <w:szCs w:val="32"/>
          <w:highlight w:val="none"/>
          <w:u w:val="single"/>
        </w:rPr>
        <w:t xml:space="preserve">      </w:t>
      </w:r>
      <w:r>
        <w:rPr>
          <w:rFonts w:hint="eastAsia" w:ascii="Times New Roman" w:hAnsi="Times New Roman" w:eastAsia="方正小标宋简体" w:cs="方正小标宋简体"/>
          <w:bCs/>
          <w:sz w:val="32"/>
          <w:szCs w:val="32"/>
          <w:highlight w:val="none"/>
        </w:rPr>
        <w:t>日</w:t>
      </w:r>
    </w:p>
    <w:p>
      <w:pPr>
        <w:pStyle w:val="2"/>
        <w:ind w:firstLine="640"/>
        <w:rPr>
          <w:rFonts w:ascii="Times New Roman" w:hAnsi="Times New Roman" w:eastAsia="仿宋_GB2312" w:cs="仿宋_GB2312"/>
          <w:bCs/>
          <w:sz w:val="32"/>
          <w:szCs w:val="32"/>
          <w:highlight w:val="none"/>
        </w:rPr>
      </w:pPr>
    </w:p>
    <w:p>
      <w:pPr>
        <w:ind w:firstLine="640"/>
        <w:rPr>
          <w:highlight w:val="none"/>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rPr>
        <w:t>一、</w:t>
      </w:r>
      <w:r>
        <w:rPr>
          <w:rFonts w:hint="eastAsia" w:ascii="Times New Roman" w:hAnsi="Times New Roman" w:eastAsia="黑体" w:cs="黑体"/>
          <w:bCs/>
          <w:kern w:val="0"/>
          <w:sz w:val="32"/>
          <w:szCs w:val="32"/>
          <w:highlight w:val="none"/>
          <w:lang w:eastAsia="zh-CN"/>
        </w:rPr>
        <w:t>竞争性谈判</w:t>
      </w:r>
      <w:r>
        <w:rPr>
          <w:rFonts w:hint="eastAsia" w:ascii="Times New Roman" w:hAnsi="Times New Roman" w:eastAsia="黑体" w:cs="黑体"/>
          <w:bCs/>
          <w:kern w:val="0"/>
          <w:sz w:val="32"/>
          <w:szCs w:val="32"/>
          <w:highlight w:val="none"/>
        </w:rPr>
        <w:t>响应函</w:t>
      </w:r>
    </w:p>
    <w:p>
      <w:pPr>
        <w:widowControl/>
        <w:adjustRightInd w:val="0"/>
        <w:snapToGrid w:val="0"/>
        <w:spacing w:line="576" w:lineRule="exact"/>
        <w:ind w:firstLine="640" w:firstLineChars="200"/>
        <w:jc w:val="center"/>
        <w:rPr>
          <w:rFonts w:ascii="Times New Roman" w:hAnsi="Times New Roman" w:eastAsia="黑体" w:cs="黑体"/>
          <w:bCs/>
          <w:kern w:val="0"/>
          <w:sz w:val="32"/>
          <w:szCs w:val="32"/>
          <w:highlight w:val="none"/>
        </w:rPr>
      </w:pPr>
    </w:p>
    <w:p>
      <w:pPr>
        <w:adjustRightInd w:val="0"/>
        <w:snapToGrid w:val="0"/>
        <w:spacing w:line="576" w:lineRule="exact"/>
        <w:ind w:firstLine="640"/>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四川兴川重点项目股权投资基金管理有限公司</w:t>
      </w:r>
      <w:r>
        <w:rPr>
          <w:rFonts w:hint="eastAsia" w:ascii="Times New Roman" w:hAnsi="Times New Roman" w:eastAsia="仿宋_GB2312" w:cs="仿宋_GB2312"/>
          <w:bCs/>
          <w:sz w:val="32"/>
          <w:szCs w:val="32"/>
          <w:highlight w:val="none"/>
        </w:rPr>
        <w:t>：</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一、</w:t>
      </w:r>
      <w:r>
        <w:rPr>
          <w:rFonts w:hint="eastAsia" w:ascii="Times New Roman" w:hAnsi="Times New Roman" w:eastAsia="仿宋_GB2312" w:cs="仿宋_GB2312"/>
          <w:bCs/>
          <w:sz w:val="32"/>
          <w:szCs w:val="32"/>
          <w:highlight w:val="none"/>
        </w:rPr>
        <w:t>我方在全面研究了</w:t>
      </w:r>
      <w:r>
        <w:rPr>
          <w:rFonts w:hint="eastAsia" w:ascii="Times New Roman" w:hAnsi="Times New Roman" w:eastAsia="仿宋_GB2312" w:cs="仿宋_GB2312"/>
          <w:bCs/>
          <w:sz w:val="32"/>
          <w:szCs w:val="32"/>
          <w:highlight w:val="none"/>
          <w:lang w:val="en-US" w:eastAsia="zh-CN"/>
        </w:rPr>
        <w:t>2025-2026年度常年</w:t>
      </w:r>
      <w:r>
        <w:rPr>
          <w:rFonts w:hint="eastAsia" w:ascii="Times New Roman" w:hAnsi="Times New Roman" w:eastAsia="仿宋_GB2312" w:cs="仿宋_GB2312"/>
          <w:bCs/>
          <w:sz w:val="32"/>
          <w:szCs w:val="32"/>
          <w:highlight w:val="none"/>
        </w:rPr>
        <w:t>法律顾问</w:t>
      </w:r>
      <w:r>
        <w:rPr>
          <w:rFonts w:hint="eastAsia" w:ascii="Times New Roman" w:hAnsi="Times New Roman" w:eastAsia="仿宋_GB2312" w:cs="仿宋_GB2312"/>
          <w:bCs/>
          <w:sz w:val="32"/>
          <w:szCs w:val="32"/>
          <w:highlight w:val="none"/>
          <w:lang w:val="en-US" w:eastAsia="zh-CN"/>
        </w:rPr>
        <w:t>服务机构选聘</w:t>
      </w:r>
      <w:r>
        <w:rPr>
          <w:rFonts w:hint="eastAsia" w:ascii="Times New Roman" w:hAnsi="Times New Roman" w:eastAsia="仿宋_GB2312" w:cs="仿宋_GB2312"/>
          <w:bCs/>
          <w:sz w:val="32"/>
          <w:szCs w:val="32"/>
          <w:highlight w:val="none"/>
        </w:rPr>
        <w:t>项目综合</w:t>
      </w:r>
      <w:r>
        <w:rPr>
          <w:rFonts w:hint="eastAsia" w:ascii="Times New Roman" w:hAnsi="Times New Roman" w:eastAsia="仿宋_GB2312" w:cs="仿宋_GB2312"/>
          <w:bCs/>
          <w:sz w:val="32"/>
          <w:szCs w:val="32"/>
          <w:highlight w:val="none"/>
          <w:lang w:eastAsia="zh-CN"/>
        </w:rPr>
        <w:t>竞争性谈判</w:t>
      </w:r>
      <w:r>
        <w:rPr>
          <w:rFonts w:hint="eastAsia" w:ascii="Times New Roman" w:hAnsi="Times New Roman" w:eastAsia="仿宋_GB2312" w:cs="仿宋_GB2312"/>
          <w:bCs/>
          <w:sz w:val="32"/>
          <w:szCs w:val="32"/>
          <w:highlight w:val="none"/>
        </w:rPr>
        <w:t>文件后，我方自愿按照文件规定的各项要求完成本项目全部工作。服务报价为：</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服务费用为人民币</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元（大写：</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），其中</w:t>
      </w:r>
      <w:r>
        <w:rPr>
          <w:rFonts w:hint="eastAsia" w:ascii="Times New Roman" w:hAnsi="Times New Roman" w:eastAsia="仿宋_GB2312" w:cs="仿宋_GB2312"/>
          <w:bCs/>
          <w:sz w:val="32"/>
          <w:szCs w:val="32"/>
          <w:highlight w:val="none"/>
          <w:lang w:val="en-US" w:eastAsia="zh-CN"/>
        </w:rPr>
        <w:t>【     】</w:t>
      </w:r>
      <w:r>
        <w:rPr>
          <w:rFonts w:hint="eastAsia" w:ascii="Times New Roman" w:hAnsi="Times New Roman" w:eastAsia="仿宋_GB2312" w:cs="仿宋_GB2312"/>
          <w:bCs/>
          <w:sz w:val="32"/>
          <w:szCs w:val="32"/>
          <w:highlight w:val="none"/>
        </w:rPr>
        <w:t>费用为人民币</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元（大写</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），其他服务费用为人民币</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元（大写</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）（如有详细报价或其他特别批注请附附件说明）。</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二、</w:t>
      </w:r>
      <w:r>
        <w:rPr>
          <w:rFonts w:hint="eastAsia" w:ascii="Times New Roman" w:hAnsi="Times New Roman" w:eastAsia="仿宋_GB2312" w:cs="仿宋_GB2312"/>
          <w:bCs/>
          <w:sz w:val="32"/>
          <w:szCs w:val="32"/>
          <w:highlight w:val="none"/>
        </w:rPr>
        <w:t>一旦我方中选，我方将严格履行合同规定的责任和义务，保证于合同签字生效后按采购人的要求保质保量完成本项目全部工作。</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三、</w:t>
      </w:r>
      <w:r>
        <w:rPr>
          <w:rFonts w:hint="eastAsia" w:ascii="Times New Roman" w:hAnsi="Times New Roman" w:eastAsia="仿宋_GB2312" w:cs="仿宋_GB2312"/>
          <w:bCs/>
          <w:sz w:val="32"/>
          <w:szCs w:val="32"/>
          <w:highlight w:val="none"/>
        </w:rPr>
        <w:t>我方为本项目提交的响应文件正本</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份，副本</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份，电子文档</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份。</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四、</w:t>
      </w:r>
      <w:r>
        <w:rPr>
          <w:rFonts w:hint="eastAsia" w:ascii="Times New Roman" w:hAnsi="Times New Roman" w:eastAsia="仿宋_GB2312" w:cs="仿宋_GB2312"/>
          <w:bCs/>
          <w:sz w:val="32"/>
          <w:szCs w:val="32"/>
          <w:highlight w:val="none"/>
        </w:rPr>
        <w:t>我方愿意提供采购人可能另外要求的，与综合</w:t>
      </w:r>
      <w:r>
        <w:rPr>
          <w:rFonts w:hint="eastAsia" w:ascii="Times New Roman" w:hAnsi="Times New Roman" w:eastAsia="仿宋_GB2312" w:cs="仿宋_GB2312"/>
          <w:bCs/>
          <w:sz w:val="32"/>
          <w:szCs w:val="32"/>
          <w:highlight w:val="none"/>
          <w:lang w:eastAsia="zh-CN"/>
        </w:rPr>
        <w:t>竞争性谈判</w:t>
      </w:r>
      <w:r>
        <w:rPr>
          <w:rFonts w:hint="eastAsia" w:ascii="Times New Roman" w:hAnsi="Times New Roman" w:eastAsia="仿宋_GB2312" w:cs="仿宋_GB2312"/>
          <w:bCs/>
          <w:sz w:val="32"/>
          <w:szCs w:val="32"/>
          <w:highlight w:val="none"/>
        </w:rPr>
        <w:t>有关的文件资料，并保证我方已提供和将要提供的文件资料是真实、准确的，无任何虚假和隐瞒情况。</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五、</w:t>
      </w:r>
      <w:r>
        <w:rPr>
          <w:rFonts w:hint="eastAsia" w:ascii="Times New Roman" w:hAnsi="Times New Roman" w:eastAsia="仿宋_GB2312" w:cs="仿宋_GB2312"/>
          <w:bCs/>
          <w:sz w:val="32"/>
          <w:szCs w:val="32"/>
          <w:highlight w:val="none"/>
        </w:rPr>
        <w:t>我方知道并同意：如果接到中选通知书后未按采购人要求的时间签订正式合同或坚持提出附加条件，采购人有权选择其他响应人为中选人。</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六、</w:t>
      </w:r>
      <w:r>
        <w:rPr>
          <w:rFonts w:hint="eastAsia" w:ascii="Times New Roman" w:hAnsi="Times New Roman" w:eastAsia="仿宋_GB2312" w:cs="仿宋_GB2312"/>
          <w:bCs/>
          <w:sz w:val="32"/>
          <w:szCs w:val="32"/>
          <w:highlight w:val="none"/>
        </w:rPr>
        <w:t>我方知道并同意：采购人并无义务必须接受所收到的价格最低的或其他任何响应文件。同时也理解，采购人不负担响应人的任何参与竞谈费用。</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七、</w:t>
      </w:r>
      <w:r>
        <w:rPr>
          <w:rFonts w:hint="eastAsia" w:ascii="Times New Roman" w:hAnsi="Times New Roman" w:eastAsia="仿宋_GB2312" w:cs="仿宋_GB2312"/>
          <w:bCs/>
          <w:sz w:val="32"/>
          <w:szCs w:val="32"/>
          <w:highlight w:val="none"/>
        </w:rPr>
        <w:t>我方郑重承诺：按采购人要求做好后期服务。</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八、</w:t>
      </w:r>
      <w:r>
        <w:rPr>
          <w:rFonts w:hint="eastAsia" w:ascii="Times New Roman" w:hAnsi="Times New Roman" w:eastAsia="仿宋_GB2312" w:cs="仿宋_GB2312"/>
          <w:bCs/>
          <w:sz w:val="32"/>
          <w:szCs w:val="32"/>
          <w:highlight w:val="none"/>
        </w:rPr>
        <w:t>我方郑重承诺：</w:t>
      </w:r>
      <w:r>
        <w:rPr>
          <w:rFonts w:ascii="Times New Roman" w:hAnsi="Times New Roman" w:eastAsia="仿宋_GB2312" w:cs="仿宋_GB2312"/>
          <w:bCs/>
          <w:sz w:val="32"/>
          <w:szCs w:val="32"/>
          <w:highlight w:val="none"/>
        </w:rPr>
        <w:t>截至报名之日，我公司（单位）经营状况良好，没有处于被有关行政部门禁止或限制开展业务的处罚期内和财产被接管、冻结、破产的状态。</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九、</w:t>
      </w:r>
      <w:r>
        <w:rPr>
          <w:rFonts w:hint="eastAsia" w:ascii="Times New Roman" w:hAnsi="Times New Roman" w:eastAsia="仿宋_GB2312" w:cs="仿宋_GB2312"/>
          <w:bCs/>
          <w:sz w:val="32"/>
          <w:szCs w:val="32"/>
          <w:highlight w:val="none"/>
        </w:rPr>
        <w:t>我方郑重承诺：</w:t>
      </w:r>
      <w:r>
        <w:rPr>
          <w:rFonts w:ascii="Times New Roman" w:hAnsi="Times New Roman" w:eastAsia="仿宋_GB2312" w:cs="仿宋_GB2312"/>
          <w:bCs/>
          <w:sz w:val="32"/>
          <w:szCs w:val="32"/>
          <w:highlight w:val="none"/>
        </w:rPr>
        <w:t>截至报名之日，近三年未受到有关部门处理处罚且无不良行为记录。</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十、</w:t>
      </w:r>
      <w:r>
        <w:rPr>
          <w:rFonts w:hint="eastAsia" w:ascii="Times New Roman" w:hAnsi="Times New Roman" w:eastAsia="仿宋_GB2312" w:cs="仿宋_GB2312"/>
          <w:bCs/>
          <w:sz w:val="32"/>
          <w:szCs w:val="32"/>
          <w:highlight w:val="none"/>
        </w:rPr>
        <w:t>我方郑重承诺：</w:t>
      </w:r>
      <w:r>
        <w:rPr>
          <w:rFonts w:ascii="Times New Roman" w:hAnsi="Times New Roman" w:eastAsia="仿宋_GB2312" w:cs="仿宋_GB2312"/>
          <w:bCs/>
          <w:sz w:val="32"/>
          <w:szCs w:val="32"/>
          <w:highlight w:val="none"/>
        </w:rPr>
        <w:t>若我公司中选，将坚持诚实守信、勤勉尽责，积极服务并保证工作质量。</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黑体" w:cs="黑体"/>
          <w:bCs/>
          <w:sz w:val="32"/>
          <w:szCs w:val="32"/>
          <w:highlight w:val="none"/>
        </w:rPr>
        <w:t>十一、</w:t>
      </w:r>
      <w:r>
        <w:rPr>
          <w:rFonts w:hint="eastAsia" w:ascii="Times New Roman" w:hAnsi="Times New Roman" w:eastAsia="仿宋_GB2312" w:cs="仿宋_GB2312"/>
          <w:bCs/>
          <w:sz w:val="32"/>
          <w:szCs w:val="32"/>
          <w:highlight w:val="none"/>
        </w:rPr>
        <w:t>我方郑重承诺：</w:t>
      </w:r>
      <w:r>
        <w:rPr>
          <w:rFonts w:ascii="Times New Roman" w:hAnsi="Times New Roman" w:eastAsia="仿宋_GB2312" w:cs="仿宋_GB2312"/>
          <w:bCs/>
          <w:sz w:val="32"/>
          <w:szCs w:val="32"/>
          <w:highlight w:val="none"/>
        </w:rPr>
        <w:t>若我公司中选，承诺为本项目所撰写的尽调报告</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如有</w:t>
      </w:r>
      <w:r>
        <w:rPr>
          <w:rFonts w:hint="eastAsia" w:ascii="Times New Roman" w:hAnsi="Times New Roman" w:eastAsia="仿宋_GB2312" w:cs="仿宋_GB2312"/>
          <w:bCs/>
          <w:sz w:val="32"/>
          <w:szCs w:val="32"/>
          <w:highlight w:val="none"/>
          <w:lang w:eastAsia="zh-CN"/>
        </w:rPr>
        <w:t>）</w:t>
      </w:r>
      <w:r>
        <w:rPr>
          <w:rFonts w:ascii="Times New Roman" w:hAnsi="Times New Roman" w:eastAsia="仿宋_GB2312" w:cs="仿宋_GB2312"/>
          <w:bCs/>
          <w:sz w:val="32"/>
          <w:szCs w:val="32"/>
          <w:highlight w:val="none"/>
        </w:rPr>
        <w:t>所有权归属该项目所有尽调费用承担方，未经该项目所有尽调费用承担方书面允许或者法律法规要求公开，不得将所撰写报告透露、泄露及公开给任何第三方以及提供给第三人使用，否则应承担相应的法律责任。</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响应人名称：</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 xml:space="preserve"> (盖章)</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法定代表人或委托代理人：</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 xml:space="preserve"> (签字)   </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通讯地址：</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 xml:space="preserve"> </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邮政编码：</w:t>
      </w:r>
      <w:r>
        <w:rPr>
          <w:rFonts w:hint="eastAsia" w:ascii="Times New Roman" w:hAnsi="Times New Roman" w:eastAsia="仿宋_GB2312" w:cs="仿宋_GB2312"/>
          <w:bCs/>
          <w:sz w:val="32"/>
          <w:szCs w:val="32"/>
          <w:highlight w:val="none"/>
          <w:u w:val="single"/>
        </w:rPr>
        <w:t xml:space="preserve">                              </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联系电话：</w:t>
      </w:r>
      <w:r>
        <w:rPr>
          <w:rFonts w:hint="eastAsia" w:ascii="Times New Roman" w:hAnsi="Times New Roman" w:eastAsia="仿宋_GB2312" w:cs="仿宋_GB2312"/>
          <w:bCs/>
          <w:sz w:val="32"/>
          <w:szCs w:val="32"/>
          <w:highlight w:val="none"/>
          <w:u w:val="single"/>
        </w:rPr>
        <w:t xml:space="preserve">                              </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传    真：</w:t>
      </w:r>
      <w:r>
        <w:rPr>
          <w:rFonts w:hint="eastAsia" w:ascii="Times New Roman" w:hAnsi="Times New Roman" w:eastAsia="仿宋_GB2312" w:cs="仿宋_GB2312"/>
          <w:bCs/>
          <w:sz w:val="32"/>
          <w:szCs w:val="32"/>
          <w:highlight w:val="none"/>
          <w:u w:val="single"/>
        </w:rPr>
        <w:t xml:space="preserve">                              </w:t>
      </w:r>
    </w:p>
    <w:p>
      <w:pPr>
        <w:widowControl/>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日    期：</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年</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月</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日</w:t>
      </w:r>
    </w:p>
    <w:p>
      <w:pPr>
        <w:pStyle w:val="2"/>
        <w:ind w:firstLine="640"/>
        <w:rPr>
          <w:highlight w:val="none"/>
        </w:rPr>
      </w:pPr>
    </w:p>
    <w:p>
      <w:pPr>
        <w:pStyle w:val="2"/>
        <w:ind w:firstLine="640"/>
        <w:rPr>
          <w:highlight w:val="none"/>
        </w:rPr>
        <w:sectPr>
          <w:footerReference r:id="rId4" w:type="default"/>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rPr>
        <w:t>二、报价一览表</w:t>
      </w:r>
    </w:p>
    <w:p>
      <w:pPr>
        <w:pStyle w:val="2"/>
        <w:ind w:firstLine="640"/>
        <w:rPr>
          <w:highlight w:val="none"/>
        </w:rPr>
      </w:pPr>
      <w:bookmarkStart w:id="13" w:name="OLE_LINK10"/>
    </w:p>
    <w:p>
      <w:pPr>
        <w:adjustRightInd w:val="0"/>
        <w:snapToGrid w:val="0"/>
        <w:spacing w:line="576" w:lineRule="exact"/>
        <w:ind w:firstLine="640" w:firstLineChars="200"/>
        <w:jc w:val="righ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货币单位：人民币/元</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184"/>
        <w:gridCol w:w="2105"/>
        <w:gridCol w:w="106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4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r>
              <w:rPr>
                <w:rFonts w:hint="eastAsia" w:ascii="仿宋_GB2312" w:hAnsi="Times New Roman" w:eastAsia="仿宋_GB2312" w:cs="仿宋_GB2312"/>
                <w:bCs/>
                <w:sz w:val="28"/>
                <w:szCs w:val="28"/>
                <w:highlight w:val="none"/>
              </w:rPr>
              <w:t>序号</w:t>
            </w:r>
          </w:p>
        </w:tc>
        <w:tc>
          <w:tcPr>
            <w:tcW w:w="18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r>
              <w:rPr>
                <w:rFonts w:hint="eastAsia" w:ascii="仿宋_GB2312" w:hAnsi="Times New Roman" w:eastAsia="仿宋_GB2312" w:cs="仿宋_GB2312"/>
                <w:bCs/>
                <w:sz w:val="28"/>
                <w:szCs w:val="28"/>
                <w:highlight w:val="none"/>
              </w:rPr>
              <w:t>项目名称</w:t>
            </w:r>
          </w:p>
        </w:tc>
        <w:tc>
          <w:tcPr>
            <w:tcW w:w="12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r>
              <w:rPr>
                <w:rFonts w:hint="eastAsia" w:ascii="仿宋_GB2312" w:hAnsi="Times New Roman" w:eastAsia="仿宋_GB2312" w:cs="仿宋_GB2312"/>
                <w:bCs/>
                <w:sz w:val="28"/>
                <w:szCs w:val="28"/>
                <w:highlight w:val="none"/>
              </w:rPr>
              <w:t>报价(元，含税)</w:t>
            </w:r>
          </w:p>
        </w:tc>
        <w:tc>
          <w:tcPr>
            <w:tcW w:w="62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r>
              <w:rPr>
                <w:rFonts w:hint="eastAsia" w:ascii="仿宋_GB2312" w:hAnsi="Times New Roman" w:eastAsia="仿宋_GB2312" w:cs="仿宋_GB2312"/>
                <w:bCs/>
                <w:sz w:val="28"/>
                <w:szCs w:val="28"/>
                <w:highlight w:val="none"/>
              </w:rPr>
              <w:t>税率</w:t>
            </w:r>
          </w:p>
        </w:tc>
        <w:tc>
          <w:tcPr>
            <w:tcW w:w="85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r>
              <w:rPr>
                <w:rFonts w:hint="eastAsia" w:ascii="仿宋_GB2312" w:hAnsi="Times New Roman" w:eastAsia="仿宋_GB2312" w:cs="仿宋_GB2312"/>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4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r>
              <w:rPr>
                <w:rFonts w:hint="eastAsia" w:ascii="仿宋_GB2312" w:hAnsi="Times New Roman" w:eastAsia="仿宋_GB2312" w:cs="仿宋_GB2312"/>
                <w:bCs/>
                <w:sz w:val="28"/>
                <w:szCs w:val="28"/>
                <w:highlight w:val="none"/>
              </w:rPr>
              <w:t>1</w:t>
            </w:r>
          </w:p>
        </w:tc>
        <w:tc>
          <w:tcPr>
            <w:tcW w:w="187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仿宋_GB2312" w:hAnsi="Times New Roman" w:eastAsia="仿宋_GB2312" w:cs="仿宋_GB2312"/>
                <w:bCs/>
                <w:kern w:val="0"/>
                <w:sz w:val="28"/>
                <w:szCs w:val="28"/>
                <w:highlight w:val="none"/>
              </w:rPr>
            </w:pPr>
            <w:r>
              <w:rPr>
                <w:rFonts w:hint="eastAsia" w:ascii="仿宋_GB2312" w:hAnsi="Times New Roman" w:eastAsia="仿宋_GB2312" w:cs="仿宋_GB2312"/>
                <w:bCs/>
                <w:kern w:val="0"/>
                <w:sz w:val="28"/>
                <w:szCs w:val="28"/>
                <w:highlight w:val="none"/>
                <w:lang w:val="en-US" w:eastAsia="zh-CN"/>
              </w:rPr>
              <w:t>2025-2026年度常年</w:t>
            </w:r>
            <w:r>
              <w:rPr>
                <w:rFonts w:hint="eastAsia" w:ascii="仿宋_GB2312" w:hAnsi="Times New Roman" w:eastAsia="仿宋_GB2312" w:cs="仿宋_GB2312"/>
                <w:bCs/>
                <w:kern w:val="0"/>
                <w:sz w:val="28"/>
                <w:szCs w:val="28"/>
                <w:highlight w:val="none"/>
              </w:rPr>
              <w:t>法律顾问</w:t>
            </w:r>
            <w:r>
              <w:rPr>
                <w:rFonts w:hint="eastAsia" w:ascii="仿宋_GB2312" w:hAnsi="Times New Roman" w:eastAsia="仿宋_GB2312" w:cs="仿宋_GB2312"/>
                <w:bCs/>
                <w:kern w:val="0"/>
                <w:sz w:val="28"/>
                <w:szCs w:val="28"/>
                <w:highlight w:val="none"/>
                <w:lang w:val="en-US" w:eastAsia="zh-CN"/>
              </w:rPr>
              <w:t>服务</w:t>
            </w:r>
          </w:p>
        </w:tc>
        <w:tc>
          <w:tcPr>
            <w:tcW w:w="123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p>
        </w:tc>
        <w:tc>
          <w:tcPr>
            <w:tcW w:w="62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p>
        </w:tc>
        <w:tc>
          <w:tcPr>
            <w:tcW w:w="85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仿宋_GB2312" w:hAnsi="Times New Roman" w:eastAsia="仿宋_GB2312" w:cs="仿宋_GB2312"/>
                <w:bCs/>
                <w:sz w:val="28"/>
                <w:szCs w:val="28"/>
                <w:highlight w:val="none"/>
              </w:rPr>
            </w:pPr>
          </w:p>
        </w:tc>
        <w:tc>
          <w:tcPr>
            <w:tcW w:w="4588" w:type="pct"/>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仿宋_GB2312" w:hAnsi="Times New Roman" w:eastAsia="仿宋_GB2312" w:cs="仿宋_GB2312"/>
                <w:bCs/>
                <w:sz w:val="28"/>
                <w:szCs w:val="28"/>
                <w:highlight w:val="none"/>
              </w:rPr>
            </w:pPr>
            <w:r>
              <w:rPr>
                <w:rFonts w:hint="eastAsia" w:ascii="仿宋_GB2312" w:hAnsi="Times New Roman" w:eastAsia="仿宋_GB2312" w:cs="仿宋_GB2312"/>
                <w:bCs/>
                <w:sz w:val="28"/>
                <w:szCs w:val="28"/>
                <w:highlight w:val="none"/>
              </w:rPr>
              <w:t>合计(大写)：</w:t>
            </w:r>
          </w:p>
        </w:tc>
      </w:tr>
    </w:tbl>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注：1.报价为响应人全部报价（人民币），包括响应人履行本项目合同（如果成交）所必须的所有成本费用和响应人应承担的一切税费，包括但不限于办公、交通、人员、差旅、文件、税费、工具费用及其他管理费用等。</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2</w:t>
      </w:r>
      <w:r>
        <w:rPr>
          <w:rFonts w:ascii="Times New Roman" w:hAnsi="Times New Roman" w:eastAsia="仿宋_GB2312" w:cs="仿宋_GB2312"/>
          <w:bCs/>
          <w:sz w:val="32"/>
          <w:szCs w:val="32"/>
          <w:highlight w:val="none"/>
        </w:rPr>
        <w:t>.</w:t>
      </w:r>
      <w:r>
        <w:rPr>
          <w:rFonts w:hint="eastAsia" w:ascii="Times New Roman" w:hAnsi="Times New Roman" w:eastAsia="仿宋_GB2312" w:cs="仿宋_GB2312"/>
          <w:bCs/>
          <w:sz w:val="32"/>
          <w:szCs w:val="32"/>
          <w:highlight w:val="none"/>
        </w:rPr>
        <w:t>若用小写表示的金额和用大写表示的金额不一致，以大写表示的金额为准。</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3.对含糊不清或不确定的报价将视为无效报价。</w:t>
      </w:r>
      <w:bookmarkEnd w:id="13"/>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响应人名称：</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 xml:space="preserve"> (盖章)</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法定代表人或委托代理人：</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 xml:space="preserve"> (签字)   </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日    期：</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年</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月</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日</w:t>
      </w:r>
    </w:p>
    <w:p>
      <w:pPr>
        <w:pStyle w:val="2"/>
        <w:ind w:firstLine="640"/>
        <w:rPr>
          <w:rFonts w:ascii="Times New Roman" w:hAnsi="Times New Roman" w:eastAsia="仿宋_GB2312" w:cs="仿宋_GB2312"/>
          <w:bCs/>
          <w:kern w:val="0"/>
          <w:sz w:val="32"/>
          <w:szCs w:val="32"/>
          <w:highlight w:val="none"/>
        </w:rPr>
      </w:pPr>
    </w:p>
    <w:p>
      <w:pPr>
        <w:ind w:firstLine="640"/>
        <w:rPr>
          <w:highlight w:val="none"/>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rPr>
        <w:t>三、《评分细则》自评表</w:t>
      </w:r>
    </w:p>
    <w:p>
      <w:pPr>
        <w:widowControl/>
        <w:adjustRightInd w:val="0"/>
        <w:snapToGrid w:val="0"/>
        <w:spacing w:line="576" w:lineRule="exact"/>
        <w:ind w:firstLine="640" w:firstLineChars="200"/>
        <w:rPr>
          <w:rFonts w:ascii="Times New Roman" w:hAnsi="Times New Roman" w:eastAsia="仿宋_GB2312" w:cs="仿宋_GB2312"/>
          <w:bCs/>
          <w:kern w:val="0"/>
          <w:sz w:val="32"/>
          <w:szCs w:val="32"/>
          <w:highlight w:val="none"/>
        </w:rPr>
      </w:pPr>
    </w:p>
    <w:tbl>
      <w:tblPr>
        <w:tblStyle w:val="8"/>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4" w:type="dxa"/>
          <w:bottom w:w="0" w:type="dxa"/>
          <w:right w:w="54" w:type="dxa"/>
        </w:tblCellMar>
      </w:tblPr>
      <w:tblGrid>
        <w:gridCol w:w="590"/>
        <w:gridCol w:w="1316"/>
        <w:gridCol w:w="1396"/>
        <w:gridCol w:w="1430"/>
        <w:gridCol w:w="1284"/>
        <w:gridCol w:w="131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582" w:type="dxa"/>
            <w:tcBorders>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8"/>
                <w:szCs w:val="28"/>
                <w:highlight w:val="none"/>
              </w:rPr>
            </w:pPr>
            <w:r>
              <w:rPr>
                <w:rFonts w:hint="eastAsia" w:ascii="Times New Roman" w:hAnsi="Times New Roman" w:eastAsia="仿宋_GB2312" w:cs="仿宋_GB2312"/>
                <w:bCs/>
                <w:color w:val="000000"/>
                <w:sz w:val="28"/>
                <w:szCs w:val="28"/>
                <w:highlight w:val="none"/>
              </w:rPr>
              <w:t>序号</w:t>
            </w:r>
          </w:p>
        </w:tc>
        <w:tc>
          <w:tcPr>
            <w:tcW w:w="1298"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8"/>
                <w:szCs w:val="28"/>
                <w:highlight w:val="none"/>
              </w:rPr>
            </w:pPr>
            <w:r>
              <w:rPr>
                <w:rFonts w:hint="eastAsia" w:ascii="Times New Roman" w:hAnsi="Times New Roman" w:eastAsia="仿宋_GB2312" w:cs="仿宋_GB2312"/>
                <w:bCs/>
                <w:color w:val="000000"/>
                <w:sz w:val="28"/>
                <w:szCs w:val="28"/>
                <w:highlight w:val="none"/>
              </w:rPr>
              <w:t>评标内容</w:t>
            </w:r>
          </w:p>
        </w:tc>
        <w:tc>
          <w:tcPr>
            <w:tcW w:w="1376"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8"/>
                <w:szCs w:val="28"/>
                <w:highlight w:val="none"/>
              </w:rPr>
            </w:pPr>
            <w:r>
              <w:rPr>
                <w:rFonts w:hint="eastAsia" w:ascii="Times New Roman" w:hAnsi="Times New Roman" w:eastAsia="仿宋_GB2312" w:cs="仿宋_GB2312"/>
                <w:bCs/>
                <w:color w:val="000000"/>
                <w:sz w:val="28"/>
                <w:szCs w:val="28"/>
                <w:highlight w:val="none"/>
              </w:rPr>
              <w:t>评标分值</w:t>
            </w:r>
          </w:p>
        </w:tc>
        <w:tc>
          <w:tcPr>
            <w:tcW w:w="1410" w:type="dxa"/>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8"/>
                <w:szCs w:val="28"/>
                <w:highlight w:val="none"/>
              </w:rPr>
            </w:pPr>
            <w:r>
              <w:rPr>
                <w:rFonts w:hint="eastAsia" w:ascii="Times New Roman" w:hAnsi="Times New Roman" w:eastAsia="仿宋_GB2312" w:cs="仿宋_GB2312"/>
                <w:bCs/>
                <w:color w:val="000000"/>
                <w:sz w:val="28"/>
                <w:szCs w:val="28"/>
                <w:highlight w:val="none"/>
              </w:rPr>
              <w:t>评分标准</w:t>
            </w:r>
          </w:p>
        </w:tc>
        <w:tc>
          <w:tcPr>
            <w:tcW w:w="1266" w:type="dxa"/>
            <w:tcBorders>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8"/>
                <w:szCs w:val="28"/>
                <w:highlight w:val="none"/>
              </w:rPr>
            </w:pPr>
            <w:r>
              <w:rPr>
                <w:rFonts w:hint="eastAsia" w:ascii="Times New Roman" w:hAnsi="Times New Roman" w:eastAsia="仿宋_GB2312" w:cs="仿宋_GB2312"/>
                <w:bCs/>
                <w:color w:val="000000"/>
                <w:sz w:val="28"/>
                <w:szCs w:val="28"/>
                <w:highlight w:val="none"/>
              </w:rPr>
              <w:t>自评得分</w:t>
            </w:r>
          </w:p>
        </w:tc>
        <w:tc>
          <w:tcPr>
            <w:tcW w:w="1293" w:type="dxa"/>
            <w:tcBorders>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8"/>
                <w:szCs w:val="28"/>
                <w:highlight w:val="none"/>
              </w:rPr>
            </w:pPr>
            <w:r>
              <w:rPr>
                <w:rFonts w:hint="eastAsia" w:ascii="Times New Roman" w:hAnsi="Times New Roman" w:eastAsia="仿宋_GB2312" w:cs="仿宋_GB2312"/>
                <w:bCs/>
                <w:color w:val="000000"/>
                <w:sz w:val="28"/>
                <w:szCs w:val="28"/>
                <w:highlight w:val="none"/>
              </w:rPr>
              <w:t>打分依据</w:t>
            </w:r>
          </w:p>
        </w:tc>
        <w:tc>
          <w:tcPr>
            <w:tcW w:w="990" w:type="dxa"/>
            <w:tcBorders>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8"/>
                <w:szCs w:val="28"/>
                <w:highlight w:val="none"/>
              </w:rPr>
            </w:pPr>
            <w:r>
              <w:rPr>
                <w:rFonts w:hint="eastAsia" w:ascii="Times New Roman" w:hAnsi="Times New Roman" w:eastAsia="仿宋_GB2312" w:cs="仿宋_GB2312"/>
                <w:bCs/>
                <w:color w:val="000000"/>
                <w:sz w:val="28"/>
                <w:szCs w:val="28"/>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582" w:type="dxa"/>
            <w:tcBorders>
              <w:top w:val="doub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298"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376"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410" w:type="dxa"/>
            <w:tcBorders>
              <w:top w:val="doub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266" w:type="dxa"/>
            <w:tcBorders>
              <w:top w:val="doub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293" w:type="dxa"/>
            <w:tcBorders>
              <w:top w:val="doub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990" w:type="dxa"/>
            <w:tcBorders>
              <w:top w:val="doub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58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266"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293"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990"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58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266"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293"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990" w:type="dxa"/>
            <w:tcBorders>
              <w:top w:val="single" w:color="auto" w:sz="4" w:space="0"/>
              <w:left w:val="single" w:color="auto" w:sz="4" w:space="0"/>
              <w:bottom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58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266" w:type="dxa"/>
            <w:tcBorders>
              <w:top w:val="sing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293" w:type="dxa"/>
            <w:tcBorders>
              <w:top w:val="sing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990" w:type="dxa"/>
            <w:tcBorders>
              <w:top w:val="sing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582" w:type="dxa"/>
            <w:tcBorders>
              <w:top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color w:val="000000"/>
                <w:sz w:val="24"/>
                <w:szCs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266" w:type="dxa"/>
            <w:tcBorders>
              <w:top w:val="sing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1293" w:type="dxa"/>
            <w:tcBorders>
              <w:top w:val="sing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c>
          <w:tcPr>
            <w:tcW w:w="990" w:type="dxa"/>
            <w:tcBorders>
              <w:top w:val="single" w:color="auto" w:sz="4" w:space="0"/>
              <w:left w:val="single" w:color="auto" w:sz="4" w:space="0"/>
              <w:bottom w:val="single" w:color="auto" w:sz="4" w:space="0"/>
            </w:tcBorders>
            <w:noWrap w:val="0"/>
            <w:vAlign w:val="center"/>
          </w:tcPr>
          <w:p>
            <w:pPr>
              <w:adjustRightInd w:val="0"/>
              <w:snapToGrid w:val="0"/>
              <w:rPr>
                <w:rFonts w:ascii="Times New Roman" w:hAnsi="Times New Roman" w:eastAsia="仿宋_GB2312" w:cs="仿宋_GB2312"/>
                <w:bCs/>
                <w:color w:val="000000"/>
                <w:sz w:val="24"/>
                <w:szCs w:val="24"/>
                <w:highlight w:val="none"/>
              </w:rPr>
            </w:pPr>
          </w:p>
        </w:tc>
      </w:tr>
    </w:tbl>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注：1.本表只填写对商务评审和加分项进行自评。</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u w:val="single"/>
        </w:rPr>
      </w:pPr>
      <w:r>
        <w:rPr>
          <w:rFonts w:hint="eastAsia" w:ascii="Times New Roman" w:hAnsi="Times New Roman" w:eastAsia="仿宋_GB2312" w:cs="仿宋_GB2312"/>
          <w:bCs/>
          <w:sz w:val="32"/>
          <w:szCs w:val="32"/>
          <w:highlight w:val="none"/>
        </w:rPr>
        <w:t>响应人名称（单位公章）：</w:t>
      </w:r>
      <w:r>
        <w:rPr>
          <w:rFonts w:hint="eastAsia" w:ascii="Times New Roman" w:hAnsi="Times New Roman" w:eastAsia="仿宋_GB2312" w:cs="仿宋_GB2312"/>
          <w:bCs/>
          <w:sz w:val="32"/>
          <w:szCs w:val="32"/>
          <w:highlight w:val="none"/>
          <w:u w:val="single"/>
        </w:rPr>
        <w:t xml:space="preserve">       </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u w:val="single"/>
        </w:rPr>
      </w:pPr>
      <w:r>
        <w:rPr>
          <w:rFonts w:hint="eastAsia" w:ascii="Times New Roman" w:hAnsi="Times New Roman" w:eastAsia="仿宋_GB2312" w:cs="仿宋_GB2312"/>
          <w:bCs/>
          <w:sz w:val="32"/>
          <w:szCs w:val="32"/>
          <w:highlight w:val="none"/>
        </w:rPr>
        <w:t>法定代表人/单位负责人或授权代表（签字或加盖个人名章）：</w:t>
      </w:r>
      <w:r>
        <w:rPr>
          <w:rFonts w:hint="eastAsia" w:ascii="Times New Roman" w:hAnsi="Times New Roman" w:eastAsia="仿宋_GB2312" w:cs="仿宋_GB2312"/>
          <w:bCs/>
          <w:sz w:val="32"/>
          <w:szCs w:val="32"/>
          <w:highlight w:val="none"/>
          <w:u w:val="single"/>
        </w:rPr>
        <w:t xml:space="preserve">        </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响应日期：</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年</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月</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日</w:t>
      </w:r>
    </w:p>
    <w:p>
      <w:pPr>
        <w:ind w:firstLine="640"/>
        <w:rPr>
          <w:highlight w:val="none"/>
        </w:rPr>
      </w:pPr>
    </w:p>
    <w:p>
      <w:pPr>
        <w:autoSpaceDE w:val="0"/>
        <w:autoSpaceDN w:val="0"/>
        <w:adjustRightInd w:val="0"/>
        <w:snapToGrid w:val="0"/>
        <w:spacing w:line="576" w:lineRule="exact"/>
        <w:ind w:firstLine="640"/>
        <w:rPr>
          <w:rFonts w:ascii="Times New Roman" w:hAnsi="Times New Roman" w:eastAsia="仿宋_GB2312" w:cs="仿宋_GB2312"/>
          <w:bCs/>
          <w:kern w:val="0"/>
          <w:sz w:val="32"/>
          <w:szCs w:val="32"/>
          <w:highlight w:val="none"/>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rPr>
        <w:t>四、响应人基本情况</w:t>
      </w:r>
    </w:p>
    <w:p>
      <w:pPr>
        <w:widowControl/>
        <w:autoSpaceDE w:val="0"/>
        <w:autoSpaceDN w:val="0"/>
        <w:adjustRightInd w:val="0"/>
        <w:snapToGrid w:val="0"/>
        <w:spacing w:line="576" w:lineRule="exact"/>
        <w:ind w:firstLine="640"/>
        <w:jc w:val="center"/>
        <w:rPr>
          <w:rFonts w:ascii="Times New Roman" w:hAnsi="Times New Roman" w:eastAsia="黑体" w:cs="黑体"/>
          <w:bCs/>
          <w:kern w:val="0"/>
          <w:sz w:val="32"/>
          <w:szCs w:val="32"/>
          <w:highlight w:val="none"/>
        </w:rPr>
      </w:pPr>
    </w:p>
    <w:p>
      <w:pPr>
        <w:autoSpaceDE w:val="0"/>
        <w:autoSpaceDN w:val="0"/>
        <w:adjustRightInd w:val="0"/>
        <w:snapToGrid w:val="0"/>
        <w:spacing w:line="576" w:lineRule="exact"/>
        <w:ind w:firstLine="640" w:firstLineChars="200"/>
        <w:jc w:val="center"/>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（可增加介绍内容，格式自拟）</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响应人基本信息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申请人名称</w:t>
            </w:r>
          </w:p>
        </w:tc>
        <w:tc>
          <w:tcPr>
            <w:tcW w:w="3792"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注册地址</w:t>
            </w:r>
          </w:p>
        </w:tc>
        <w:tc>
          <w:tcPr>
            <w:tcW w:w="3792"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21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 xml:space="preserve">法定代表人 </w:t>
            </w:r>
          </w:p>
          <w:p>
            <w:pPr>
              <w:adjustRightInd w:val="0"/>
              <w:snapToGrid w:val="0"/>
              <w:ind w:left="21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（负责人）</w:t>
            </w:r>
          </w:p>
        </w:tc>
        <w:tc>
          <w:tcPr>
            <w:tcW w:w="3792"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组织机构代码证</w:t>
            </w:r>
          </w:p>
        </w:tc>
        <w:tc>
          <w:tcPr>
            <w:tcW w:w="3792"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2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经营范围</w:t>
            </w:r>
          </w:p>
        </w:tc>
        <w:tc>
          <w:tcPr>
            <w:tcW w:w="3792"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专职人数</w:t>
            </w:r>
          </w:p>
        </w:tc>
        <w:tc>
          <w:tcPr>
            <w:tcW w:w="3792"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jc w:val="center"/>
        </w:trPr>
        <w:tc>
          <w:tcPr>
            <w:tcW w:w="12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其他</w:t>
            </w:r>
          </w:p>
        </w:tc>
        <w:tc>
          <w:tcPr>
            <w:tcW w:w="3792"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Times New Roman" w:hAnsi="Times New Roman" w:eastAsia="仿宋_GB2312" w:cs="仿宋_GB2312"/>
                <w:bCs/>
                <w:sz w:val="28"/>
                <w:szCs w:val="28"/>
                <w:highlight w:val="none"/>
              </w:rPr>
            </w:pPr>
          </w:p>
        </w:tc>
      </w:tr>
    </w:tbl>
    <w:p>
      <w:pPr>
        <w:autoSpaceDE w:val="0"/>
        <w:autoSpaceDN w:val="0"/>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注：</w:t>
      </w:r>
      <w:r>
        <w:rPr>
          <w:rFonts w:ascii="Times New Roman" w:hAnsi="Times New Roman" w:eastAsia="仿宋_GB2312" w:cs="仿宋_GB2312"/>
          <w:bCs/>
          <w:sz w:val="32"/>
          <w:szCs w:val="32"/>
          <w:highlight w:val="none"/>
        </w:rPr>
        <w:t>1</w:t>
      </w:r>
      <w:r>
        <w:rPr>
          <w:rFonts w:hint="eastAsia" w:ascii="Times New Roman" w:hAnsi="Times New Roman" w:eastAsia="仿宋_GB2312" w:cs="仿宋_GB2312"/>
          <w:bCs/>
          <w:sz w:val="32"/>
          <w:szCs w:val="32"/>
          <w:highlight w:val="none"/>
          <w:lang w:eastAsia="zh-Hans"/>
        </w:rPr>
        <w:t>.</w:t>
      </w:r>
      <w:r>
        <w:rPr>
          <w:rFonts w:hint="eastAsia" w:ascii="Times New Roman" w:hAnsi="Times New Roman" w:eastAsia="仿宋_GB2312" w:cs="仿宋_GB2312"/>
          <w:bCs/>
          <w:sz w:val="32"/>
          <w:szCs w:val="32"/>
          <w:highlight w:val="none"/>
        </w:rPr>
        <w:t>本页后应附组织机构代码证、事务所执业许可证并加盖响应人单位鲜章。</w:t>
      </w:r>
    </w:p>
    <w:p>
      <w:pPr>
        <w:widowControl/>
        <w:adjustRightInd w:val="0"/>
        <w:snapToGrid w:val="0"/>
        <w:spacing w:line="576" w:lineRule="exact"/>
        <w:ind w:firstLine="640" w:firstLineChars="200"/>
        <w:rPr>
          <w:rFonts w:ascii="Times New Roman" w:hAnsi="Times New Roman" w:eastAsia="仿宋_GB2312" w:cs="仿宋_GB2312"/>
          <w:bCs/>
          <w:kern w:val="0"/>
          <w:sz w:val="32"/>
          <w:szCs w:val="32"/>
          <w:highlight w:val="none"/>
        </w:rPr>
      </w:pPr>
    </w:p>
    <w:p>
      <w:pPr>
        <w:widowControl/>
        <w:adjustRightInd w:val="0"/>
        <w:snapToGrid w:val="0"/>
        <w:spacing w:line="576" w:lineRule="exact"/>
        <w:ind w:firstLine="640" w:firstLineChars="200"/>
        <w:jc w:val="center"/>
        <w:rPr>
          <w:rFonts w:ascii="Times New Roman" w:hAnsi="Times New Roman" w:eastAsia="仿宋_GB2312" w:cs="仿宋_GB2312"/>
          <w:bCs/>
          <w:kern w:val="0"/>
          <w:sz w:val="32"/>
          <w:szCs w:val="32"/>
          <w:highlight w:val="none"/>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rPr>
        <w:t>五、拟任服务团队简介</w:t>
      </w:r>
    </w:p>
    <w:p>
      <w:pPr>
        <w:adjustRightInd w:val="0"/>
        <w:snapToGrid w:val="0"/>
        <w:spacing w:line="576" w:lineRule="exact"/>
        <w:ind w:firstLine="640" w:firstLineChars="200"/>
        <w:jc w:val="center"/>
        <w:rPr>
          <w:rFonts w:ascii="Times New Roman" w:hAnsi="Times New Roman" w:eastAsia="仿宋_GB2312" w:cs="仿宋_GB2312"/>
          <w:bCs/>
          <w:sz w:val="32"/>
          <w:szCs w:val="32"/>
          <w:highlight w:val="none"/>
        </w:rPr>
      </w:pPr>
    </w:p>
    <w:p>
      <w:pPr>
        <w:autoSpaceDE w:val="0"/>
        <w:autoSpaceDN w:val="0"/>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[包括主要业务领域、项目经验介绍、团队负责人及成员的个人情况（含专业优势、擅长领域、工作业绩实例）介绍、团队负责人及成员现有主要客户清单，格式自拟]</w:t>
      </w:r>
    </w:p>
    <w:p>
      <w:pPr>
        <w:autoSpaceDE w:val="0"/>
        <w:autoSpaceDN w:val="0"/>
        <w:adjustRightInd w:val="0"/>
        <w:snapToGrid w:val="0"/>
        <w:spacing w:line="576" w:lineRule="exact"/>
        <w:ind w:firstLine="640"/>
        <w:rPr>
          <w:rFonts w:ascii="Times New Roman" w:hAnsi="Times New Roman" w:eastAsia="仿宋_GB2312" w:cs="仿宋_GB2312"/>
          <w:bCs/>
          <w:kern w:val="0"/>
          <w:sz w:val="32"/>
          <w:szCs w:val="32"/>
          <w:highlight w:val="none"/>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rPr>
        <w:t>六、拟指派担任</w:t>
      </w:r>
      <w:r>
        <w:rPr>
          <w:rFonts w:hint="eastAsia" w:ascii="Times New Roman" w:hAnsi="Times New Roman" w:eastAsia="黑体" w:cs="黑体"/>
          <w:bCs/>
          <w:kern w:val="0"/>
          <w:sz w:val="32"/>
          <w:szCs w:val="32"/>
          <w:highlight w:val="none"/>
          <w:lang w:val="en-US" w:eastAsia="zh-CN"/>
        </w:rPr>
        <w:t>2025-2026年度常年</w:t>
      </w:r>
      <w:r>
        <w:rPr>
          <w:rFonts w:hint="eastAsia" w:ascii="Times New Roman" w:hAnsi="Times New Roman" w:eastAsia="黑体" w:cs="黑体"/>
          <w:bCs/>
          <w:kern w:val="0"/>
          <w:sz w:val="32"/>
          <w:szCs w:val="32"/>
          <w:highlight w:val="none"/>
        </w:rPr>
        <w:t>法律顾问</w:t>
      </w:r>
      <w:r>
        <w:rPr>
          <w:rFonts w:hint="eastAsia" w:ascii="Times New Roman" w:hAnsi="Times New Roman" w:eastAsia="黑体" w:cs="黑体"/>
          <w:bCs/>
          <w:kern w:val="0"/>
          <w:sz w:val="32"/>
          <w:szCs w:val="32"/>
          <w:highlight w:val="none"/>
          <w:lang w:val="en-US" w:eastAsia="zh-CN"/>
        </w:rPr>
        <w:t>服务</w:t>
      </w:r>
      <w:r>
        <w:rPr>
          <w:rFonts w:hint="eastAsia" w:ascii="Times New Roman" w:hAnsi="Times New Roman" w:eastAsia="黑体" w:cs="黑体"/>
          <w:bCs/>
          <w:kern w:val="0"/>
          <w:sz w:val="32"/>
          <w:szCs w:val="32"/>
          <w:highlight w:val="none"/>
        </w:rPr>
        <w:t>项目的</w:t>
      </w: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rPr>
        <w:t>团队负责人、团队现场负责人及成员</w:t>
      </w:r>
    </w:p>
    <w:p>
      <w:pPr>
        <w:pStyle w:val="7"/>
        <w:adjustRightInd w:val="0"/>
        <w:spacing w:line="576" w:lineRule="exact"/>
        <w:jc w:val="center"/>
        <w:rPr>
          <w:rFonts w:ascii="Times New Roman" w:hAnsi="Times New Roman" w:eastAsia="仿宋_GB2312" w:cs="仿宋_GB2312"/>
          <w:bCs/>
          <w:sz w:val="32"/>
          <w:szCs w:val="32"/>
          <w:highlight w:val="none"/>
        </w:rPr>
      </w:pPr>
    </w:p>
    <w:p>
      <w:pPr>
        <w:pStyle w:val="7"/>
        <w:adjustRightInd w:val="0"/>
        <w:spacing w:line="576" w:lineRule="exact"/>
        <w:jc w:val="both"/>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lang w:val="en-US" w:eastAsia="zh-CN"/>
        </w:rPr>
        <w:t>一</w:t>
      </w:r>
      <w:r>
        <w:rPr>
          <w:rFonts w:hint="eastAsia" w:ascii="Times New Roman" w:hAnsi="Times New Roman" w:eastAsia="仿宋_GB2312" w:cs="仿宋_GB2312"/>
          <w:bCs/>
          <w:sz w:val="32"/>
          <w:szCs w:val="32"/>
          <w:highlight w:val="none"/>
          <w:lang w:eastAsia="zh-CN"/>
        </w:rPr>
        <w:t>）</w:t>
      </w:r>
      <w:r>
        <w:rPr>
          <w:rFonts w:hint="eastAsia" w:ascii="Times New Roman" w:hAnsi="Times New Roman" w:eastAsia="仿宋_GB2312" w:cs="仿宋_GB2312"/>
          <w:bCs/>
          <w:sz w:val="32"/>
          <w:szCs w:val="32"/>
          <w:highlight w:val="none"/>
        </w:rPr>
        <w:t>拟担任</w:t>
      </w:r>
      <w:r>
        <w:rPr>
          <w:rFonts w:hint="eastAsia" w:ascii="Times New Roman" w:hAnsi="Times New Roman" w:eastAsia="仿宋_GB2312" w:cs="仿宋_GB2312"/>
          <w:bCs/>
          <w:sz w:val="32"/>
          <w:szCs w:val="32"/>
          <w:highlight w:val="none"/>
          <w:lang w:val="en-US" w:eastAsia="zh-CN"/>
        </w:rPr>
        <w:t>2025-2026年度常年</w:t>
      </w:r>
      <w:r>
        <w:rPr>
          <w:rFonts w:hint="eastAsia" w:ascii="Times New Roman" w:hAnsi="Times New Roman" w:eastAsia="仿宋_GB2312" w:cs="仿宋_GB2312"/>
          <w:bCs/>
          <w:sz w:val="32"/>
          <w:szCs w:val="32"/>
          <w:highlight w:val="none"/>
        </w:rPr>
        <w:t>法律顾问</w:t>
      </w:r>
      <w:r>
        <w:rPr>
          <w:rFonts w:hint="eastAsia" w:ascii="Times New Roman" w:hAnsi="Times New Roman" w:eastAsia="仿宋_GB2312" w:cs="仿宋_GB2312"/>
          <w:bCs/>
          <w:sz w:val="32"/>
          <w:szCs w:val="32"/>
          <w:highlight w:val="none"/>
          <w:lang w:val="en-US" w:eastAsia="zh-CN"/>
        </w:rPr>
        <w:t>服务项目</w:t>
      </w:r>
      <w:r>
        <w:rPr>
          <w:rFonts w:hint="eastAsia" w:ascii="Times New Roman" w:hAnsi="Times New Roman" w:eastAsia="仿宋_GB2312" w:cs="仿宋_GB2312"/>
          <w:bCs/>
          <w:sz w:val="32"/>
          <w:szCs w:val="32"/>
          <w:highlight w:val="none"/>
        </w:rPr>
        <w:t>的团队负责人</w:t>
      </w:r>
    </w:p>
    <w:p>
      <w:pPr>
        <w:pStyle w:val="7"/>
        <w:adjustRightInd w:val="0"/>
        <w:spacing w:line="576" w:lineRule="exact"/>
        <w:jc w:val="center"/>
        <w:rPr>
          <w:rFonts w:ascii="Times New Roman" w:hAnsi="Times New Roman" w:eastAsia="仿宋_GB2312" w:cs="仿宋_GB2312"/>
          <w:bCs/>
          <w:sz w:val="32"/>
          <w:szCs w:val="32"/>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928"/>
        <w:gridCol w:w="980"/>
        <w:gridCol w:w="1248"/>
        <w:gridCol w:w="139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姓名</w:t>
            </w:r>
          </w:p>
        </w:tc>
        <w:tc>
          <w:tcPr>
            <w:tcW w:w="1928"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职务</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性别</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执业证编号</w:t>
            </w: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rPr>
                <w:rFonts w:ascii="Times New Roman" w:hAnsi="Times New Roman" w:eastAsia="仿宋_GB2312" w:cs="仿宋_GB2312"/>
                <w:bCs/>
                <w:sz w:val="28"/>
                <w:szCs w:val="28"/>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从业年限</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职业资格证书编号</w:t>
            </w:r>
          </w:p>
        </w:tc>
        <w:tc>
          <w:tcPr>
            <w:tcW w:w="6645" w:type="dxa"/>
            <w:gridSpan w:val="5"/>
            <w:tcBorders>
              <w:top w:val="single" w:color="auto" w:sz="4" w:space="0"/>
              <w:left w:val="single" w:color="auto" w:sz="4" w:space="0"/>
              <w:bottom w:val="single" w:color="auto" w:sz="4" w:space="0"/>
              <w:right w:val="single" w:color="auto" w:sz="4" w:space="0"/>
            </w:tcBorders>
            <w:noWrap w:val="0"/>
            <w:vAlign w:val="center"/>
          </w:tcPr>
          <w:p>
            <w:pPr>
              <w:pStyle w:val="7"/>
              <w:adjustRightInd w:val="0"/>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其他资格证书</w:t>
            </w:r>
          </w:p>
        </w:tc>
        <w:tc>
          <w:tcPr>
            <w:tcW w:w="6645" w:type="dxa"/>
            <w:gridSpan w:val="5"/>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教育背景</w:t>
            </w:r>
          </w:p>
        </w:tc>
        <w:tc>
          <w:tcPr>
            <w:tcW w:w="6645" w:type="dxa"/>
            <w:gridSpan w:val="5"/>
            <w:tcBorders>
              <w:top w:val="single" w:color="auto" w:sz="4" w:space="0"/>
              <w:left w:val="single" w:color="auto" w:sz="4" w:space="0"/>
              <w:bottom w:val="single" w:color="auto" w:sz="4" w:space="0"/>
              <w:right w:val="single" w:color="auto" w:sz="4" w:space="0"/>
            </w:tcBorders>
            <w:noWrap w:val="0"/>
            <w:vAlign w:val="center"/>
          </w:tcPr>
          <w:p>
            <w:pPr>
              <w:pStyle w:val="7"/>
              <w:adjustRightInd w:val="0"/>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年毕业于</w:t>
            </w:r>
            <w:bookmarkStart w:id="14" w:name="OLE_LINK3"/>
            <w:r>
              <w:rPr>
                <w:rFonts w:hint="eastAsia" w:ascii="Times New Roman" w:hAnsi="Times New Roman" w:eastAsia="仿宋_GB2312" w:cs="仿宋_GB2312"/>
                <w:bCs/>
                <w:sz w:val="28"/>
                <w:szCs w:val="28"/>
                <w:highlight w:val="none"/>
                <w:u w:val="single"/>
              </w:rPr>
              <w:t xml:space="preserve">         </w:t>
            </w:r>
            <w:bookmarkEnd w:id="14"/>
            <w:r>
              <w:rPr>
                <w:rFonts w:hint="eastAsia" w:ascii="Times New Roman" w:hAnsi="Times New Roman" w:eastAsia="仿宋_GB2312" w:cs="仿宋_GB2312"/>
                <w:bCs/>
                <w:sz w:val="28"/>
                <w:szCs w:val="28"/>
                <w:highlight w:val="none"/>
              </w:rPr>
              <w:t>学校</w:t>
            </w: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专业（最高学历）；</w:t>
            </w:r>
          </w:p>
          <w:p>
            <w:pPr>
              <w:pStyle w:val="7"/>
              <w:adjustRightInd w:val="0"/>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年毕业于</w:t>
            </w: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学校</w:t>
            </w: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工作经历</w:t>
            </w:r>
          </w:p>
        </w:tc>
        <w:tc>
          <w:tcPr>
            <w:tcW w:w="6645" w:type="dxa"/>
            <w:gridSpan w:val="5"/>
            <w:tcBorders>
              <w:top w:val="single" w:color="auto" w:sz="4" w:space="0"/>
              <w:left w:val="single" w:color="auto" w:sz="4" w:space="0"/>
              <w:bottom w:val="single" w:color="auto" w:sz="4" w:space="0"/>
              <w:right w:val="single" w:color="auto" w:sz="4" w:space="0"/>
            </w:tcBorders>
            <w:noWrap w:val="0"/>
            <w:vAlign w:val="center"/>
          </w:tcPr>
          <w:p>
            <w:pPr>
              <w:pStyle w:val="7"/>
              <w:adjustRightInd w:val="0"/>
              <w:rPr>
                <w:rFonts w:ascii="Times New Roman" w:hAnsi="Times New Roman" w:eastAsia="仿宋_GB2312" w:cs="仿宋_GB2312"/>
                <w:bCs/>
                <w:sz w:val="28"/>
                <w:szCs w:val="28"/>
                <w:highlight w:val="none"/>
              </w:rPr>
            </w:pPr>
          </w:p>
        </w:tc>
      </w:tr>
    </w:tbl>
    <w:p>
      <w:pPr>
        <w:pStyle w:val="7"/>
        <w:adjustRightInd w:val="0"/>
        <w:spacing w:line="576" w:lineRule="exact"/>
        <w:rPr>
          <w:rFonts w:ascii="Times New Roman" w:hAnsi="Times New Roman" w:eastAsia="仿宋_GB2312" w:cs="仿宋_GB2312"/>
          <w:bCs/>
          <w:sz w:val="32"/>
          <w:szCs w:val="32"/>
          <w:highlight w:val="none"/>
        </w:rPr>
      </w:pPr>
    </w:p>
    <w:p>
      <w:pPr>
        <w:pStyle w:val="7"/>
        <w:adjustRightInd w:val="0"/>
        <w:spacing w:line="576" w:lineRule="exac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本人承诺上述表格所列信息均真实有效，本人承诺未因执业受过行政处罚、行业处分。</w:t>
      </w:r>
    </w:p>
    <w:p>
      <w:pPr>
        <w:pStyle w:val="7"/>
        <w:adjustRightInd w:val="0"/>
        <w:spacing w:line="576" w:lineRule="exact"/>
        <w:jc w:val="right"/>
        <w:rPr>
          <w:rFonts w:ascii="Times New Roman" w:hAnsi="Times New Roman" w:eastAsia="仿宋_GB2312" w:cs="仿宋_GB2312"/>
          <w:bCs/>
          <w:sz w:val="32"/>
          <w:szCs w:val="32"/>
          <w:highlight w:val="none"/>
        </w:rPr>
      </w:pPr>
    </w:p>
    <w:p>
      <w:pPr>
        <w:pStyle w:val="7"/>
        <w:adjustRightInd w:val="0"/>
        <w:spacing w:line="576" w:lineRule="exact"/>
        <w:ind w:right="630"/>
        <w:jc w:val="right"/>
        <w:rPr>
          <w:rFonts w:ascii="Times New Roman" w:hAnsi="Times New Roman" w:eastAsia="仿宋_GB2312" w:cs="仿宋_GB2312"/>
          <w:bCs/>
          <w:sz w:val="32"/>
          <w:szCs w:val="32"/>
          <w:highlight w:val="none"/>
          <w:u w:val="single"/>
        </w:rPr>
      </w:pPr>
      <w:r>
        <w:rPr>
          <w:rFonts w:hint="eastAsia" w:ascii="Times New Roman" w:hAnsi="Times New Roman" w:eastAsia="仿宋_GB2312" w:cs="仿宋_GB2312"/>
          <w:bCs/>
          <w:sz w:val="32"/>
          <w:szCs w:val="32"/>
          <w:highlight w:val="none"/>
        </w:rPr>
        <w:t>拟任团队成员：</w:t>
      </w:r>
      <w:r>
        <w:rPr>
          <w:rFonts w:hint="eastAsia" w:ascii="Times New Roman" w:hAnsi="Times New Roman" w:eastAsia="仿宋_GB2312" w:cs="仿宋_GB2312"/>
          <w:bCs/>
          <w:sz w:val="32"/>
          <w:szCs w:val="32"/>
          <w:highlight w:val="none"/>
          <w:u w:val="single"/>
        </w:rPr>
        <w:t xml:space="preserve">        （签字）</w:t>
      </w:r>
    </w:p>
    <w:p>
      <w:pPr>
        <w:pStyle w:val="7"/>
        <w:adjustRightInd w:val="0"/>
        <w:spacing w:line="576" w:lineRule="exact"/>
        <w:jc w:val="righ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年</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月</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日</w:t>
      </w:r>
    </w:p>
    <w:p>
      <w:pPr>
        <w:pStyle w:val="2"/>
        <w:rPr>
          <w:highlight w:val="none"/>
        </w:rPr>
      </w:pPr>
    </w:p>
    <w:p>
      <w:pPr>
        <w:rPr>
          <w:highlight w:val="none"/>
        </w:rPr>
        <w:sectPr>
          <w:pgSz w:w="11906" w:h="16838"/>
          <w:pgMar w:top="1440" w:right="1800" w:bottom="1440" w:left="1800" w:header="851" w:footer="992" w:gutter="0"/>
          <w:pgNumType w:fmt="numberInDash"/>
          <w:cols w:space="720" w:num="1"/>
          <w:docGrid w:type="lines" w:linePitch="312" w:charSpace="0"/>
        </w:sectPr>
      </w:pPr>
    </w:p>
    <w:p>
      <w:pPr>
        <w:tabs>
          <w:tab w:val="center" w:pos="4153"/>
          <w:tab w:val="right" w:pos="8306"/>
        </w:tabs>
        <w:adjustRightInd w:val="0"/>
        <w:snapToGrid w:val="0"/>
        <w:spacing w:line="576" w:lineRule="exact"/>
        <w:jc w:val="both"/>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w:t>
      </w:r>
      <w:r>
        <w:rPr>
          <w:rFonts w:hint="eastAsia" w:ascii="Times New Roman" w:hAnsi="Times New Roman" w:eastAsia="仿宋_GB2312" w:cs="仿宋_GB2312"/>
          <w:bCs/>
          <w:sz w:val="32"/>
          <w:szCs w:val="32"/>
          <w:highlight w:val="none"/>
          <w:lang w:val="en-US" w:eastAsia="zh-CN"/>
        </w:rPr>
        <w:t>二</w:t>
      </w:r>
      <w:r>
        <w:rPr>
          <w:rFonts w:hint="eastAsia" w:ascii="Times New Roman" w:hAnsi="Times New Roman" w:eastAsia="仿宋_GB2312" w:cs="仿宋_GB2312"/>
          <w:bCs/>
          <w:sz w:val="32"/>
          <w:szCs w:val="32"/>
          <w:highlight w:val="none"/>
        </w:rPr>
        <w:t>）拟担任</w:t>
      </w:r>
      <w:r>
        <w:rPr>
          <w:rFonts w:hint="eastAsia" w:ascii="Times New Roman" w:hAnsi="Times New Roman" w:eastAsia="仿宋_GB2312" w:cs="仿宋_GB2312"/>
          <w:bCs/>
          <w:sz w:val="32"/>
          <w:szCs w:val="32"/>
          <w:highlight w:val="none"/>
          <w:lang w:val="en-US" w:eastAsia="zh-CN"/>
        </w:rPr>
        <w:t>2025-2026年度常年</w:t>
      </w:r>
      <w:r>
        <w:rPr>
          <w:rFonts w:hint="eastAsia" w:ascii="Times New Roman" w:hAnsi="Times New Roman" w:eastAsia="仿宋_GB2312" w:cs="仿宋_GB2312"/>
          <w:bCs/>
          <w:sz w:val="32"/>
          <w:szCs w:val="32"/>
          <w:highlight w:val="none"/>
        </w:rPr>
        <w:t>法律顾问</w:t>
      </w:r>
      <w:r>
        <w:rPr>
          <w:rFonts w:hint="eastAsia" w:ascii="Times New Roman" w:hAnsi="Times New Roman" w:eastAsia="仿宋_GB2312" w:cs="仿宋_GB2312"/>
          <w:bCs/>
          <w:sz w:val="32"/>
          <w:szCs w:val="32"/>
          <w:highlight w:val="none"/>
          <w:lang w:val="en-US" w:eastAsia="zh-CN"/>
        </w:rPr>
        <w:t>服务</w:t>
      </w:r>
      <w:r>
        <w:rPr>
          <w:rFonts w:hint="eastAsia" w:ascii="Times New Roman" w:hAnsi="Times New Roman" w:eastAsia="仿宋_GB2312" w:cs="仿宋_GB2312"/>
          <w:bCs/>
          <w:sz w:val="32"/>
          <w:szCs w:val="32"/>
          <w:highlight w:val="none"/>
        </w:rPr>
        <w:t>项目团队的其他成员</w:t>
      </w:r>
    </w:p>
    <w:p>
      <w:pPr>
        <w:tabs>
          <w:tab w:val="center" w:pos="4153"/>
          <w:tab w:val="right" w:pos="8306"/>
        </w:tabs>
        <w:adjustRightInd w:val="0"/>
        <w:snapToGrid w:val="0"/>
        <w:spacing w:line="576" w:lineRule="exact"/>
        <w:ind w:firstLine="640"/>
        <w:jc w:val="center"/>
        <w:rPr>
          <w:rFonts w:ascii="Times New Roman" w:hAnsi="Times New Roman" w:eastAsia="仿宋_GB2312" w:cs="仿宋_GB2312"/>
          <w:bCs/>
          <w:sz w:val="32"/>
          <w:szCs w:val="32"/>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928"/>
        <w:gridCol w:w="980"/>
        <w:gridCol w:w="1248"/>
        <w:gridCol w:w="139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姓名</w:t>
            </w:r>
          </w:p>
        </w:tc>
        <w:tc>
          <w:tcPr>
            <w:tcW w:w="1928"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职务</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性别</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highlight w:val="none"/>
              </w:rPr>
            </w:pPr>
            <w:r>
              <w:rPr>
                <w:rFonts w:hint="eastAsia" w:ascii="Times New Roman" w:hAnsi="Times New Roman" w:eastAsia="仿宋_GB2312" w:cs="仿宋_GB2312"/>
                <w:bCs/>
                <w:sz w:val="28"/>
                <w:szCs w:val="28"/>
                <w:highlight w:val="none"/>
              </w:rPr>
              <w:t>执业证</w:t>
            </w:r>
          </w:p>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编号</w:t>
            </w:r>
          </w:p>
        </w:tc>
        <w:tc>
          <w:tcPr>
            <w:tcW w:w="4156" w:type="dxa"/>
            <w:gridSpan w:val="3"/>
            <w:tcBorders>
              <w:top w:val="single" w:color="auto" w:sz="4" w:space="0"/>
              <w:left w:val="single" w:color="auto" w:sz="4" w:space="0"/>
              <w:bottom w:val="single" w:color="auto" w:sz="4" w:space="0"/>
              <w:right w:val="single" w:color="auto" w:sz="4" w:space="0"/>
            </w:tcBorders>
            <w:noWrap w:val="0"/>
            <w:vAlign w:val="center"/>
          </w:tcPr>
          <w:p>
            <w:pPr>
              <w:pStyle w:val="7"/>
              <w:adjustRightInd w:val="0"/>
              <w:rPr>
                <w:rFonts w:ascii="Times New Roman" w:hAnsi="Times New Roman" w:eastAsia="仿宋_GB2312" w:cs="仿宋_GB2312"/>
                <w:bCs/>
                <w:sz w:val="28"/>
                <w:szCs w:val="28"/>
                <w:highlight w:val="none"/>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从业年限</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职业资格证书编号</w:t>
            </w:r>
          </w:p>
        </w:tc>
        <w:tc>
          <w:tcPr>
            <w:tcW w:w="6645" w:type="dxa"/>
            <w:gridSpan w:val="5"/>
            <w:tcBorders>
              <w:top w:val="single" w:color="auto" w:sz="4" w:space="0"/>
              <w:left w:val="single" w:color="auto" w:sz="4" w:space="0"/>
              <w:bottom w:val="single" w:color="auto" w:sz="4" w:space="0"/>
              <w:right w:val="single" w:color="auto" w:sz="4" w:space="0"/>
            </w:tcBorders>
            <w:noWrap w:val="0"/>
            <w:vAlign w:val="center"/>
          </w:tcPr>
          <w:p>
            <w:pPr>
              <w:pStyle w:val="7"/>
              <w:adjustRightInd w:val="0"/>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其他资格证书</w:t>
            </w:r>
          </w:p>
        </w:tc>
        <w:tc>
          <w:tcPr>
            <w:tcW w:w="6645" w:type="dxa"/>
            <w:gridSpan w:val="5"/>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教育背景</w:t>
            </w:r>
          </w:p>
        </w:tc>
        <w:tc>
          <w:tcPr>
            <w:tcW w:w="6645" w:type="dxa"/>
            <w:gridSpan w:val="5"/>
            <w:tcBorders>
              <w:top w:val="single" w:color="auto" w:sz="4" w:space="0"/>
              <w:left w:val="single" w:color="auto" w:sz="4" w:space="0"/>
              <w:bottom w:val="single" w:color="auto" w:sz="4" w:space="0"/>
              <w:right w:val="single" w:color="auto" w:sz="4" w:space="0"/>
            </w:tcBorders>
            <w:noWrap w:val="0"/>
            <w:vAlign w:val="center"/>
          </w:tcPr>
          <w:p>
            <w:pPr>
              <w:pStyle w:val="7"/>
              <w:adjustRightInd w:val="0"/>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年毕业于</w:t>
            </w: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学校</w:t>
            </w: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专业（最高学历）；</w:t>
            </w:r>
          </w:p>
          <w:p>
            <w:pPr>
              <w:pStyle w:val="7"/>
              <w:adjustRightInd w:val="0"/>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年毕业于</w:t>
            </w: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学校</w:t>
            </w:r>
            <w:r>
              <w:rPr>
                <w:rFonts w:hint="eastAsia" w:ascii="Times New Roman" w:hAnsi="Times New Roman" w:eastAsia="仿宋_GB2312" w:cs="仿宋_GB2312"/>
                <w:bCs/>
                <w:sz w:val="28"/>
                <w:szCs w:val="28"/>
                <w:highlight w:val="none"/>
                <w:u w:val="single"/>
              </w:rPr>
              <w:t xml:space="preserve">         </w:t>
            </w:r>
            <w:r>
              <w:rPr>
                <w:rFonts w:hint="eastAsia" w:ascii="Times New Roman" w:hAnsi="Times New Roman" w:eastAsia="仿宋_GB2312" w:cs="仿宋_GB2312"/>
                <w:bCs/>
                <w:sz w:val="28"/>
                <w:szCs w:val="28"/>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1651" w:type="dxa"/>
            <w:tcBorders>
              <w:top w:val="single" w:color="auto" w:sz="4" w:space="0"/>
              <w:left w:val="single" w:color="auto" w:sz="4" w:space="0"/>
              <w:bottom w:val="single" w:color="auto" w:sz="4" w:space="0"/>
              <w:right w:val="single" w:color="auto" w:sz="4" w:space="0"/>
            </w:tcBorders>
            <w:noWrap w:val="0"/>
            <w:vAlign w:val="center"/>
          </w:tcPr>
          <w:p>
            <w:pPr>
              <w:pStyle w:val="7"/>
              <w:adjustRightInd w:val="0"/>
              <w:jc w:val="center"/>
              <w:rPr>
                <w:rFonts w:ascii="Times New Roman" w:hAnsi="Times New Roman" w:eastAsia="仿宋_GB2312" w:cs="仿宋_GB2312"/>
                <w:bCs/>
                <w:sz w:val="28"/>
                <w:szCs w:val="28"/>
                <w:highlight w:val="none"/>
              </w:rPr>
            </w:pPr>
            <w:r>
              <w:rPr>
                <w:rFonts w:hint="eastAsia" w:ascii="Times New Roman" w:hAnsi="Times New Roman" w:eastAsia="仿宋_GB2312" w:cs="仿宋_GB2312"/>
                <w:bCs/>
                <w:sz w:val="28"/>
                <w:szCs w:val="28"/>
                <w:highlight w:val="none"/>
              </w:rPr>
              <w:t>工作经历</w:t>
            </w:r>
          </w:p>
        </w:tc>
        <w:tc>
          <w:tcPr>
            <w:tcW w:w="6645" w:type="dxa"/>
            <w:gridSpan w:val="5"/>
            <w:tcBorders>
              <w:top w:val="single" w:color="auto" w:sz="4" w:space="0"/>
              <w:left w:val="single" w:color="auto" w:sz="4" w:space="0"/>
              <w:bottom w:val="single" w:color="auto" w:sz="4" w:space="0"/>
              <w:right w:val="single" w:color="auto" w:sz="4" w:space="0"/>
            </w:tcBorders>
            <w:noWrap w:val="0"/>
            <w:vAlign w:val="center"/>
          </w:tcPr>
          <w:p>
            <w:pPr>
              <w:pStyle w:val="7"/>
              <w:adjustRightInd w:val="0"/>
              <w:rPr>
                <w:rFonts w:ascii="Times New Roman" w:hAnsi="Times New Roman" w:eastAsia="仿宋_GB2312" w:cs="仿宋_GB2312"/>
                <w:bCs/>
                <w:sz w:val="28"/>
                <w:szCs w:val="28"/>
                <w:highlight w:val="none"/>
              </w:rPr>
            </w:pPr>
          </w:p>
        </w:tc>
      </w:tr>
    </w:tbl>
    <w:p>
      <w:pPr>
        <w:tabs>
          <w:tab w:val="center" w:pos="4153"/>
          <w:tab w:val="right" w:pos="8306"/>
        </w:tabs>
        <w:adjustRightInd w:val="0"/>
        <w:snapToGrid w:val="0"/>
        <w:spacing w:line="576" w:lineRule="exact"/>
        <w:ind w:firstLine="640"/>
        <w:jc w:val="center"/>
        <w:rPr>
          <w:rFonts w:ascii="Times New Roman" w:hAnsi="Times New Roman" w:eastAsia="仿宋_GB2312" w:cs="仿宋_GB2312"/>
          <w:bCs/>
          <w:sz w:val="32"/>
          <w:szCs w:val="32"/>
          <w:highlight w:val="none"/>
        </w:rPr>
      </w:pPr>
    </w:p>
    <w:p>
      <w:pPr>
        <w:pStyle w:val="7"/>
        <w:adjustRightIn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本人承诺上述表格所列信息均真实有效，本人承诺未因执业受过行政处罚、行业处分。</w:t>
      </w:r>
    </w:p>
    <w:p>
      <w:pPr>
        <w:pStyle w:val="7"/>
        <w:adjustRightInd w:val="0"/>
        <w:spacing w:line="576" w:lineRule="exact"/>
        <w:ind w:firstLine="640" w:firstLineChars="200"/>
        <w:jc w:val="right"/>
        <w:rPr>
          <w:rFonts w:ascii="Times New Roman" w:hAnsi="Times New Roman" w:eastAsia="仿宋_GB2312" w:cs="仿宋_GB2312"/>
          <w:bCs/>
          <w:sz w:val="32"/>
          <w:szCs w:val="32"/>
          <w:highlight w:val="none"/>
        </w:rPr>
      </w:pPr>
    </w:p>
    <w:p>
      <w:pPr>
        <w:pStyle w:val="7"/>
        <w:adjustRightInd w:val="0"/>
        <w:spacing w:line="576" w:lineRule="exact"/>
        <w:ind w:right="630" w:firstLine="640" w:firstLineChars="200"/>
        <w:jc w:val="right"/>
        <w:rPr>
          <w:rFonts w:ascii="Times New Roman" w:hAnsi="Times New Roman" w:eastAsia="仿宋_GB2312" w:cs="仿宋_GB2312"/>
          <w:bCs/>
          <w:sz w:val="32"/>
          <w:szCs w:val="32"/>
          <w:highlight w:val="none"/>
          <w:u w:val="single"/>
        </w:rPr>
      </w:pPr>
      <w:r>
        <w:rPr>
          <w:rFonts w:hint="eastAsia" w:ascii="Times New Roman" w:hAnsi="Times New Roman" w:eastAsia="仿宋_GB2312" w:cs="仿宋_GB2312"/>
          <w:bCs/>
          <w:sz w:val="32"/>
          <w:szCs w:val="32"/>
          <w:highlight w:val="none"/>
        </w:rPr>
        <w:t>拟任团队成员：</w:t>
      </w:r>
      <w:r>
        <w:rPr>
          <w:rFonts w:hint="eastAsia" w:ascii="Times New Roman" w:hAnsi="Times New Roman" w:eastAsia="仿宋_GB2312" w:cs="仿宋_GB2312"/>
          <w:bCs/>
          <w:sz w:val="32"/>
          <w:szCs w:val="32"/>
          <w:highlight w:val="none"/>
          <w:u w:val="single"/>
        </w:rPr>
        <w:t xml:space="preserve">        （签字）</w:t>
      </w:r>
    </w:p>
    <w:p>
      <w:pPr>
        <w:pStyle w:val="7"/>
        <w:adjustRightInd w:val="0"/>
        <w:spacing w:line="576" w:lineRule="exact"/>
        <w:ind w:firstLine="640" w:firstLineChars="200"/>
        <w:jc w:val="righ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年</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月</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日</w:t>
      </w:r>
    </w:p>
    <w:p>
      <w:pPr>
        <w:pStyle w:val="7"/>
        <w:adjustRightInd w:val="0"/>
        <w:spacing w:line="576" w:lineRule="exact"/>
        <w:ind w:firstLine="640" w:firstLineChars="200"/>
        <w:rPr>
          <w:rFonts w:ascii="Times New Roman" w:hAnsi="Times New Roman" w:eastAsia="仿宋_GB2312" w:cs="仿宋_GB2312"/>
          <w:bCs/>
          <w:sz w:val="32"/>
          <w:szCs w:val="32"/>
          <w:highlight w:val="none"/>
        </w:rPr>
      </w:pPr>
    </w:p>
    <w:p>
      <w:pPr>
        <w:pStyle w:val="7"/>
        <w:adjustRightInd w:val="0"/>
        <w:spacing w:line="576" w:lineRule="exact"/>
        <w:ind w:firstLine="640" w:firstLineChars="200"/>
        <w:jc w:val="right"/>
        <w:rPr>
          <w:rFonts w:ascii="Times New Roman" w:hAnsi="Times New Roman" w:eastAsia="仿宋_GB2312" w:cs="仿宋_GB2312"/>
          <w:bCs/>
          <w:kern w:val="0"/>
          <w:sz w:val="32"/>
          <w:szCs w:val="32"/>
          <w:highlight w:val="none"/>
        </w:rPr>
        <w:sectPr>
          <w:footerReference r:id="rId5" w:type="default"/>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lang w:val="en-US" w:eastAsia="zh-CN"/>
        </w:rPr>
        <w:t>七</w:t>
      </w:r>
      <w:r>
        <w:rPr>
          <w:rFonts w:hint="eastAsia" w:ascii="Times New Roman" w:hAnsi="Times New Roman" w:eastAsia="黑体" w:cs="黑体"/>
          <w:bCs/>
          <w:kern w:val="0"/>
          <w:sz w:val="32"/>
          <w:szCs w:val="32"/>
          <w:highlight w:val="none"/>
        </w:rPr>
        <w:t>、《服务合同》应答表</w:t>
      </w:r>
    </w:p>
    <w:p>
      <w:pPr>
        <w:pStyle w:val="2"/>
        <w:adjustRightInd w:val="0"/>
        <w:snapToGrid w:val="0"/>
        <w:spacing w:line="576" w:lineRule="exact"/>
        <w:ind w:firstLine="640" w:firstLineChars="200"/>
        <w:rPr>
          <w:rFonts w:ascii="Times New Roman" w:hAnsi="Times New Roman" w:eastAsia="仿宋_GB2312" w:cs="仿宋_GB2312"/>
          <w:bCs/>
          <w:sz w:val="32"/>
          <w:szCs w:val="32"/>
          <w:highlight w:val="none"/>
        </w:rPr>
      </w:pPr>
    </w:p>
    <w:tbl>
      <w:tblPr>
        <w:tblStyle w:val="9"/>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2716"/>
        <w:gridCol w:w="282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noWrap w:val="0"/>
            <w:vAlign w:val="center"/>
          </w:tcPr>
          <w:p>
            <w:pPr>
              <w:widowControl/>
              <w:adjustRightInd w:val="0"/>
              <w:snapToGrid w:val="0"/>
              <w:spacing w:line="576" w:lineRule="exact"/>
              <w:jc w:val="center"/>
              <w:textAlignment w:val="center"/>
              <w:rPr>
                <w:rFonts w:ascii="Times New Roman" w:hAnsi="Times New Roman" w:eastAsia="仿宋_GB2312" w:cs="仿宋_GB2312"/>
                <w:bCs/>
                <w:color w:val="000000"/>
                <w:kern w:val="0"/>
                <w:sz w:val="28"/>
                <w:szCs w:val="28"/>
                <w:highlight w:val="none"/>
                <w:lang w:bidi="ar"/>
              </w:rPr>
            </w:pPr>
            <w:r>
              <w:rPr>
                <w:rFonts w:hint="eastAsia" w:ascii="Times New Roman" w:hAnsi="Times New Roman" w:eastAsia="仿宋_GB2312" w:cs="仿宋_GB2312"/>
                <w:bCs/>
                <w:color w:val="000000"/>
                <w:kern w:val="0"/>
                <w:sz w:val="28"/>
                <w:szCs w:val="28"/>
                <w:highlight w:val="none"/>
                <w:lang w:bidi="ar"/>
              </w:rPr>
              <w:t>序号</w:t>
            </w:r>
          </w:p>
        </w:tc>
        <w:tc>
          <w:tcPr>
            <w:tcW w:w="2716" w:type="dxa"/>
            <w:noWrap w:val="0"/>
            <w:vAlign w:val="center"/>
          </w:tcPr>
          <w:p>
            <w:pPr>
              <w:widowControl/>
              <w:adjustRightInd w:val="0"/>
              <w:snapToGrid w:val="0"/>
              <w:spacing w:line="576" w:lineRule="exact"/>
              <w:jc w:val="center"/>
              <w:textAlignment w:val="center"/>
              <w:rPr>
                <w:rFonts w:ascii="Times New Roman" w:hAnsi="Times New Roman" w:eastAsia="仿宋_GB2312" w:cs="仿宋_GB2312"/>
                <w:bCs/>
                <w:color w:val="000000"/>
                <w:kern w:val="0"/>
                <w:sz w:val="28"/>
                <w:szCs w:val="28"/>
                <w:highlight w:val="none"/>
                <w:lang w:bidi="ar"/>
              </w:rPr>
            </w:pPr>
            <w:r>
              <w:rPr>
                <w:rFonts w:hint="eastAsia" w:ascii="Times New Roman" w:hAnsi="Times New Roman" w:eastAsia="仿宋_GB2312" w:cs="仿宋_GB2312"/>
                <w:bCs/>
                <w:color w:val="000000"/>
                <w:kern w:val="0"/>
                <w:sz w:val="28"/>
                <w:szCs w:val="28"/>
                <w:highlight w:val="none"/>
                <w:lang w:bidi="ar"/>
              </w:rPr>
              <w:t>原合同条款</w:t>
            </w:r>
          </w:p>
        </w:tc>
        <w:tc>
          <w:tcPr>
            <w:tcW w:w="2824" w:type="dxa"/>
            <w:noWrap w:val="0"/>
            <w:vAlign w:val="center"/>
          </w:tcPr>
          <w:p>
            <w:pPr>
              <w:widowControl/>
              <w:adjustRightInd w:val="0"/>
              <w:snapToGrid w:val="0"/>
              <w:spacing w:line="576" w:lineRule="exact"/>
              <w:jc w:val="center"/>
              <w:textAlignment w:val="center"/>
              <w:rPr>
                <w:rFonts w:ascii="Times New Roman" w:hAnsi="Times New Roman" w:eastAsia="仿宋_GB2312" w:cs="仿宋_GB2312"/>
                <w:bCs/>
                <w:color w:val="000000"/>
                <w:kern w:val="0"/>
                <w:sz w:val="28"/>
                <w:szCs w:val="28"/>
                <w:highlight w:val="none"/>
                <w:lang w:bidi="ar"/>
              </w:rPr>
            </w:pPr>
            <w:r>
              <w:rPr>
                <w:rFonts w:hint="eastAsia" w:ascii="Times New Roman" w:hAnsi="Times New Roman" w:eastAsia="仿宋_GB2312" w:cs="仿宋_GB2312"/>
                <w:bCs/>
                <w:color w:val="000000"/>
                <w:kern w:val="0"/>
                <w:sz w:val="28"/>
                <w:szCs w:val="28"/>
                <w:highlight w:val="none"/>
                <w:lang w:bidi="ar"/>
              </w:rPr>
              <w:t>响应文件应答</w:t>
            </w:r>
          </w:p>
        </w:tc>
        <w:tc>
          <w:tcPr>
            <w:tcW w:w="2105" w:type="dxa"/>
            <w:noWrap w:val="0"/>
            <w:vAlign w:val="center"/>
          </w:tcPr>
          <w:p>
            <w:pPr>
              <w:widowControl/>
              <w:adjustRightInd w:val="0"/>
              <w:snapToGrid w:val="0"/>
              <w:spacing w:line="576" w:lineRule="exact"/>
              <w:jc w:val="center"/>
              <w:textAlignment w:val="center"/>
              <w:rPr>
                <w:rFonts w:ascii="Times New Roman" w:hAnsi="Times New Roman" w:eastAsia="仿宋_GB2312" w:cs="仿宋_GB2312"/>
                <w:bCs/>
                <w:color w:val="000000"/>
                <w:kern w:val="0"/>
                <w:sz w:val="28"/>
                <w:szCs w:val="28"/>
                <w:highlight w:val="none"/>
                <w:lang w:bidi="ar"/>
              </w:rPr>
            </w:pPr>
            <w:r>
              <w:rPr>
                <w:rFonts w:hint="eastAsia" w:ascii="Times New Roman" w:hAnsi="Times New Roman" w:eastAsia="仿宋_GB2312" w:cs="仿宋_GB2312"/>
                <w:bCs/>
                <w:color w:val="000000"/>
                <w:kern w:val="0"/>
                <w:sz w:val="28"/>
                <w:szCs w:val="28"/>
                <w:highlight w:val="none"/>
                <w:lang w:bidi="ar"/>
              </w:rPr>
              <w:t>偏离原因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716"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824"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105"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716"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824"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105"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716"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824"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105"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73"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716"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824"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c>
          <w:tcPr>
            <w:tcW w:w="2105" w:type="dxa"/>
            <w:noWrap w:val="0"/>
            <w:vAlign w:val="top"/>
          </w:tcPr>
          <w:p>
            <w:pPr>
              <w:widowControl/>
              <w:adjustRightInd w:val="0"/>
              <w:snapToGrid w:val="0"/>
              <w:spacing w:line="576" w:lineRule="exact"/>
              <w:jc w:val="left"/>
              <w:textAlignment w:val="center"/>
              <w:rPr>
                <w:rFonts w:ascii="Times New Roman" w:hAnsi="Times New Roman" w:eastAsia="仿宋_GB2312" w:cs="仿宋_GB2312"/>
                <w:bCs/>
                <w:color w:val="000000"/>
                <w:kern w:val="0"/>
                <w:sz w:val="28"/>
                <w:szCs w:val="28"/>
                <w:highlight w:val="none"/>
                <w:lang w:bidi="ar"/>
              </w:rPr>
            </w:pPr>
          </w:p>
        </w:tc>
      </w:tr>
    </w:tbl>
    <w:p>
      <w:pPr>
        <w:adjustRightInd w:val="0"/>
        <w:snapToGrid w:val="0"/>
        <w:spacing w:line="576" w:lineRule="exact"/>
        <w:ind w:firstLine="640" w:firstLineChars="200"/>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注：1. 本表只填写对服务合同的响应，且响应文件与服务合同有偏离（包括正偏离和负偏离）的内容，若对服务合同无修改意见，则应按照服务合同签署。</w:t>
      </w:r>
    </w:p>
    <w:p>
      <w:pPr>
        <w:adjustRightInd w:val="0"/>
        <w:snapToGrid w:val="0"/>
        <w:spacing w:line="576" w:lineRule="exact"/>
        <w:ind w:left="420" w:firstLine="640" w:firstLineChars="200"/>
        <w:rPr>
          <w:rFonts w:ascii="Times New Roman" w:hAnsi="Times New Roman" w:eastAsia="仿宋_GB2312" w:cs="仿宋_GB2312"/>
          <w:bCs/>
          <w:sz w:val="32"/>
          <w:szCs w:val="32"/>
          <w:highlight w:val="none"/>
        </w:rPr>
      </w:pPr>
      <w:bookmarkStart w:id="15" w:name="OLE_LINK9"/>
      <w:r>
        <w:rPr>
          <w:rFonts w:hint="eastAsia" w:ascii="Times New Roman" w:hAnsi="Times New Roman" w:eastAsia="仿宋_GB2312" w:cs="仿宋_GB2312"/>
          <w:bCs/>
          <w:sz w:val="32"/>
          <w:szCs w:val="32"/>
          <w:highlight w:val="none"/>
        </w:rPr>
        <w:t>2.响应人必须据实填写，不得虚假响应，否则将取消其</w:t>
      </w:r>
      <w:r>
        <w:rPr>
          <w:rFonts w:hint="eastAsia" w:ascii="Times New Roman" w:hAnsi="Times New Roman" w:eastAsia="仿宋_GB2312" w:cs="仿宋_GB2312"/>
          <w:bCs/>
          <w:sz w:val="32"/>
          <w:szCs w:val="32"/>
          <w:highlight w:val="none"/>
          <w:lang w:eastAsia="zh-CN"/>
        </w:rPr>
        <w:t>竞争性谈判</w:t>
      </w:r>
      <w:r>
        <w:rPr>
          <w:rFonts w:hint="eastAsia" w:ascii="Times New Roman" w:hAnsi="Times New Roman" w:eastAsia="仿宋_GB2312" w:cs="仿宋_GB2312"/>
          <w:bCs/>
          <w:sz w:val="32"/>
          <w:szCs w:val="32"/>
          <w:highlight w:val="none"/>
        </w:rPr>
        <w:t>或中选资格，并按有关规定进行处罚。</w:t>
      </w:r>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bookmarkStart w:id="16" w:name="OLE_LINK7"/>
    </w:p>
    <w:p>
      <w:pPr>
        <w:adjustRightInd w:val="0"/>
        <w:snapToGrid w:val="0"/>
        <w:spacing w:line="576" w:lineRule="exact"/>
        <w:ind w:firstLine="640" w:firstLineChars="200"/>
        <w:rPr>
          <w:rFonts w:ascii="Times New Roman" w:hAnsi="Times New Roman" w:eastAsia="仿宋_GB2312" w:cs="仿宋_GB2312"/>
          <w:bCs/>
          <w:sz w:val="32"/>
          <w:szCs w:val="32"/>
          <w:highlight w:val="none"/>
        </w:rPr>
      </w:pPr>
    </w:p>
    <w:bookmarkEnd w:id="15"/>
    <w:bookmarkEnd w:id="16"/>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u w:val="single"/>
        </w:rPr>
      </w:pPr>
      <w:r>
        <w:rPr>
          <w:rFonts w:hint="eastAsia" w:ascii="Times New Roman" w:hAnsi="Times New Roman" w:eastAsia="仿宋_GB2312" w:cs="仿宋_GB2312"/>
          <w:bCs/>
          <w:sz w:val="32"/>
          <w:szCs w:val="32"/>
          <w:highlight w:val="none"/>
        </w:rPr>
        <w:t>响应人名称（单位公章）：</w:t>
      </w:r>
      <w:r>
        <w:rPr>
          <w:rFonts w:hint="eastAsia" w:ascii="Times New Roman" w:hAnsi="Times New Roman" w:eastAsia="仿宋_GB2312" w:cs="仿宋_GB2312"/>
          <w:bCs/>
          <w:sz w:val="32"/>
          <w:szCs w:val="32"/>
          <w:highlight w:val="none"/>
          <w:u w:val="single"/>
        </w:rPr>
        <w:t xml:space="preserve">       </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u w:val="single"/>
        </w:rPr>
      </w:pPr>
      <w:r>
        <w:rPr>
          <w:rFonts w:hint="eastAsia" w:ascii="Times New Roman" w:hAnsi="Times New Roman" w:eastAsia="仿宋_GB2312" w:cs="仿宋_GB2312"/>
          <w:bCs/>
          <w:sz w:val="32"/>
          <w:szCs w:val="32"/>
          <w:highlight w:val="none"/>
        </w:rPr>
        <w:t>法定代表人/单位负责人或授权代表（签字或加盖个人名章）：</w:t>
      </w:r>
      <w:r>
        <w:rPr>
          <w:rFonts w:hint="eastAsia" w:ascii="Times New Roman" w:hAnsi="Times New Roman" w:eastAsia="仿宋_GB2312" w:cs="仿宋_GB2312"/>
          <w:bCs/>
          <w:sz w:val="32"/>
          <w:szCs w:val="32"/>
          <w:highlight w:val="none"/>
          <w:u w:val="single"/>
        </w:rPr>
        <w:t xml:space="preserve">        </w:t>
      </w:r>
    </w:p>
    <w:p>
      <w:pPr>
        <w:autoSpaceDE w:val="0"/>
        <w:autoSpaceDN w:val="0"/>
        <w:adjustRightInd w:val="0"/>
        <w:snapToGrid w:val="0"/>
        <w:spacing w:line="576" w:lineRule="exact"/>
        <w:ind w:firstLine="640" w:firstLineChars="200"/>
        <w:jc w:val="left"/>
        <w:rPr>
          <w:rFonts w:ascii="Times New Roman" w:hAnsi="Times New Roman" w:eastAsia="仿宋_GB2312" w:cs="仿宋_GB2312"/>
          <w:bCs/>
          <w:sz w:val="32"/>
          <w:szCs w:val="32"/>
          <w:highlight w:val="none"/>
        </w:rPr>
      </w:pPr>
      <w:r>
        <w:rPr>
          <w:rFonts w:hint="eastAsia" w:ascii="Times New Roman" w:hAnsi="Times New Roman" w:eastAsia="仿宋_GB2312" w:cs="仿宋_GB2312"/>
          <w:bCs/>
          <w:sz w:val="32"/>
          <w:szCs w:val="32"/>
          <w:highlight w:val="none"/>
        </w:rPr>
        <w:t>响应日期：</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年</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月</w:t>
      </w:r>
      <w:r>
        <w:rPr>
          <w:rFonts w:hint="eastAsia" w:ascii="Times New Roman" w:hAnsi="Times New Roman" w:eastAsia="仿宋_GB2312" w:cs="仿宋_GB2312"/>
          <w:bCs/>
          <w:sz w:val="32"/>
          <w:szCs w:val="32"/>
          <w:highlight w:val="none"/>
          <w:u w:val="single"/>
        </w:rPr>
        <w:t xml:space="preserve">  </w:t>
      </w:r>
      <w:r>
        <w:rPr>
          <w:rFonts w:hint="eastAsia" w:ascii="Times New Roman" w:hAnsi="Times New Roman" w:eastAsia="仿宋_GB2312" w:cs="仿宋_GB2312"/>
          <w:bCs/>
          <w:sz w:val="32"/>
          <w:szCs w:val="32"/>
          <w:highlight w:val="none"/>
        </w:rPr>
        <w:t>日</w:t>
      </w:r>
    </w:p>
    <w:p>
      <w:pPr>
        <w:ind w:firstLine="640"/>
        <w:rPr>
          <w:highlight w:val="none"/>
        </w:rPr>
      </w:pPr>
    </w:p>
    <w:p>
      <w:pPr>
        <w:autoSpaceDE w:val="0"/>
        <w:autoSpaceDN w:val="0"/>
        <w:adjustRightInd w:val="0"/>
        <w:snapToGrid w:val="0"/>
        <w:spacing w:line="576" w:lineRule="exact"/>
        <w:ind w:firstLine="640"/>
        <w:rPr>
          <w:rFonts w:ascii="Times New Roman" w:hAnsi="Times New Roman" w:eastAsia="仿宋_GB2312" w:cs="仿宋_GB2312"/>
          <w:bCs/>
          <w:kern w:val="0"/>
          <w:sz w:val="32"/>
          <w:szCs w:val="32"/>
          <w:highlight w:val="none"/>
        </w:rPr>
        <w:sectPr>
          <w:pgSz w:w="11906" w:h="16838"/>
          <w:pgMar w:top="1440" w:right="1800" w:bottom="1440" w:left="1800" w:header="851" w:footer="992" w:gutter="0"/>
          <w:pgNumType w:fmt="numberInDash"/>
          <w:cols w:space="720" w:num="1"/>
          <w:docGrid w:type="lines" w:linePitch="312" w:charSpace="0"/>
        </w:sectPr>
      </w:pPr>
    </w:p>
    <w:p>
      <w:pPr>
        <w:widowControl/>
        <w:adjustRightInd w:val="0"/>
        <w:snapToGrid w:val="0"/>
        <w:spacing w:line="576" w:lineRule="exact"/>
        <w:jc w:val="center"/>
        <w:rPr>
          <w:rFonts w:ascii="Times New Roman" w:hAnsi="Times New Roman" w:eastAsia="黑体" w:cs="黑体"/>
          <w:bCs/>
          <w:kern w:val="0"/>
          <w:sz w:val="32"/>
          <w:szCs w:val="32"/>
          <w:highlight w:val="none"/>
        </w:rPr>
      </w:pPr>
      <w:r>
        <w:rPr>
          <w:rFonts w:hint="eastAsia" w:ascii="Times New Roman" w:hAnsi="Times New Roman" w:eastAsia="黑体" w:cs="黑体"/>
          <w:bCs/>
          <w:kern w:val="0"/>
          <w:sz w:val="32"/>
          <w:szCs w:val="32"/>
          <w:highlight w:val="none"/>
          <w:lang w:val="en-US" w:eastAsia="zh-CN"/>
        </w:rPr>
        <w:t>八</w:t>
      </w:r>
      <w:r>
        <w:rPr>
          <w:rFonts w:hint="eastAsia" w:ascii="Times New Roman" w:hAnsi="Times New Roman" w:eastAsia="黑体" w:cs="黑体"/>
          <w:bCs/>
          <w:kern w:val="0"/>
          <w:sz w:val="32"/>
          <w:szCs w:val="32"/>
          <w:highlight w:val="none"/>
        </w:rPr>
        <w:t>、其他资料</w:t>
      </w:r>
    </w:p>
    <w:p>
      <w:pPr>
        <w:adjustRightInd w:val="0"/>
        <w:snapToGrid w:val="0"/>
        <w:spacing w:line="576" w:lineRule="exact"/>
        <w:ind w:firstLine="640" w:firstLineChars="200"/>
        <w:rPr>
          <w:rFonts w:ascii="Times New Roman" w:hAnsi="Times New Roman" w:eastAsia="仿宋_GB2312" w:cs="仿宋_GB2312"/>
          <w:bCs/>
          <w:kern w:val="0"/>
          <w:sz w:val="32"/>
          <w:szCs w:val="32"/>
          <w:highlight w:val="none"/>
          <w:lang w:eastAsia="zh-Hans"/>
        </w:rPr>
      </w:pPr>
    </w:p>
    <w:p>
      <w:pPr>
        <w:adjustRightInd w:val="0"/>
        <w:snapToGrid w:val="0"/>
        <w:spacing w:line="576" w:lineRule="exact"/>
        <w:ind w:firstLine="640" w:firstLineChars="200"/>
        <w:jc w:val="center"/>
        <w:rPr>
          <w:rFonts w:ascii="Times New Roman" w:hAnsi="Times New Roman" w:eastAsia="仿宋_GB2312" w:cs="仿宋_GB2312"/>
          <w:bCs/>
          <w:color w:val="000000"/>
          <w:sz w:val="32"/>
          <w:szCs w:val="32"/>
          <w:highlight w:val="none"/>
        </w:rPr>
      </w:pPr>
      <w:r>
        <w:rPr>
          <w:rFonts w:hint="eastAsia" w:ascii="Times New Roman" w:hAnsi="Times New Roman" w:eastAsia="仿宋_GB2312" w:cs="仿宋_GB2312"/>
          <w:bCs/>
          <w:color w:val="000000"/>
          <w:sz w:val="32"/>
          <w:szCs w:val="32"/>
          <w:highlight w:val="none"/>
        </w:rPr>
        <w:t>（综合</w:t>
      </w:r>
      <w:r>
        <w:rPr>
          <w:rFonts w:hint="eastAsia" w:ascii="Times New Roman" w:hAnsi="Times New Roman" w:eastAsia="仿宋_GB2312" w:cs="仿宋_GB2312"/>
          <w:bCs/>
          <w:color w:val="000000"/>
          <w:sz w:val="32"/>
          <w:szCs w:val="32"/>
          <w:highlight w:val="none"/>
          <w:lang w:eastAsia="zh-CN"/>
        </w:rPr>
        <w:t>竞争性谈判</w:t>
      </w:r>
      <w:r>
        <w:rPr>
          <w:rFonts w:hint="eastAsia" w:ascii="Times New Roman" w:hAnsi="Times New Roman" w:eastAsia="仿宋_GB2312" w:cs="仿宋_GB2312"/>
          <w:bCs/>
          <w:color w:val="000000"/>
          <w:sz w:val="32"/>
          <w:szCs w:val="32"/>
          <w:highlight w:val="none"/>
        </w:rPr>
        <w:t>文件要求的其他内容）</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numPr>
          <w:ilvl w:val="0"/>
          <w:numId w:val="0"/>
        </w:numPr>
        <w:ind w:firstLine="640" w:firstLineChars="200"/>
        <w:jc w:val="center"/>
        <w:rPr>
          <w:rFonts w:hint="eastAsia" w:ascii="微软雅黑" w:hAnsi="微软雅黑" w:eastAsia="微软雅黑" w:cs="微软雅黑"/>
          <w:b/>
          <w:sz w:val="32"/>
          <w:szCs w:val="32"/>
          <w:highlight w:val="none"/>
          <w:lang w:val="en-US" w:eastAsia="zh-CN"/>
        </w:rPr>
      </w:pPr>
      <w:r>
        <w:rPr>
          <w:rFonts w:hint="eastAsia" w:ascii="微软雅黑" w:hAnsi="微软雅黑" w:eastAsia="微软雅黑" w:cs="微软雅黑"/>
          <w:b/>
          <w:sz w:val="32"/>
          <w:szCs w:val="32"/>
          <w:highlight w:val="none"/>
          <w:lang w:val="en-US" w:eastAsia="zh-CN"/>
        </w:rPr>
        <w:t>第四章 合同模板</w:t>
      </w:r>
    </w:p>
    <w:p>
      <w:pPr>
        <w:numPr>
          <w:ilvl w:val="0"/>
          <w:numId w:val="0"/>
        </w:numPr>
        <w:ind w:firstLine="640" w:firstLineChars="200"/>
        <w:jc w:val="center"/>
        <w:rPr>
          <w:rFonts w:hint="eastAsia" w:ascii="微软雅黑" w:hAnsi="微软雅黑" w:eastAsia="微软雅黑" w:cs="微软雅黑"/>
          <w:b/>
          <w:sz w:val="32"/>
          <w:szCs w:val="32"/>
          <w:highlight w:val="none"/>
          <w:lang w:val="en-US" w:eastAsia="zh-CN"/>
        </w:rPr>
      </w:pPr>
    </w:p>
    <w:p>
      <w:pPr>
        <w:pStyle w:val="2"/>
        <w:numPr>
          <w:ilvl w:val="0"/>
          <w:numId w:val="0"/>
        </w:numPr>
        <w:rPr>
          <w:rFonts w:hint="default"/>
          <w:highlight w:val="none"/>
          <w:lang w:val="en-US" w:eastAsia="zh-CN"/>
        </w:rPr>
      </w:pPr>
    </w:p>
    <w:p>
      <w:pPr>
        <w:ind w:firstLine="482" w:firstLineChars="200"/>
        <w:rPr>
          <w:b/>
          <w:sz w:val="24"/>
          <w:highlight w:val="none"/>
        </w:rPr>
      </w:pPr>
      <w:r>
        <w:rPr>
          <w:rFonts w:hint="eastAsia"/>
          <w:b/>
          <w:sz w:val="24"/>
          <w:highlight w:val="none"/>
        </w:rPr>
        <w:t>甲方：</w:t>
      </w:r>
      <w:r>
        <w:rPr>
          <w:rFonts w:hint="eastAsia"/>
          <w:b/>
          <w:bCs/>
          <w:sz w:val="24"/>
          <w:highlight w:val="none"/>
          <w:lang w:val="en-US" w:eastAsia="zh-CN"/>
        </w:rPr>
        <w:t>****</w:t>
      </w:r>
      <w:r>
        <w:rPr>
          <w:rFonts w:hint="eastAsia"/>
          <w:b/>
          <w:bCs/>
          <w:sz w:val="24"/>
          <w:highlight w:val="none"/>
        </w:rPr>
        <w:t xml:space="preserve">基金有限公司 </w:t>
      </w:r>
    </w:p>
    <w:p>
      <w:pPr>
        <w:ind w:firstLine="482" w:firstLineChars="200"/>
        <w:rPr>
          <w:b/>
          <w:sz w:val="24"/>
          <w:highlight w:val="none"/>
        </w:rPr>
      </w:pPr>
      <w:r>
        <w:rPr>
          <w:rFonts w:hint="eastAsia"/>
          <w:b/>
          <w:sz w:val="24"/>
          <w:highlight w:val="none"/>
        </w:rPr>
        <w:t>乙方：</w:t>
      </w:r>
      <w:r>
        <w:rPr>
          <w:rFonts w:hint="eastAsia"/>
          <w:b/>
          <w:sz w:val="24"/>
          <w:highlight w:val="none"/>
          <w:lang w:val="en-US" w:eastAsia="zh-CN"/>
        </w:rPr>
        <w:t>****</w:t>
      </w:r>
      <w:r>
        <w:rPr>
          <w:rFonts w:hint="eastAsia"/>
          <w:b/>
          <w:sz w:val="24"/>
          <w:highlight w:val="none"/>
        </w:rPr>
        <w:t>律师事务所</w:t>
      </w:r>
    </w:p>
    <w:p>
      <w:pPr>
        <w:rPr>
          <w:b w:val="0"/>
          <w:bCs w:val="0"/>
          <w:sz w:val="24"/>
          <w:highlight w:val="none"/>
        </w:rPr>
      </w:pP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甲方因工作/业务需要，根据《中华人民共和国</w:t>
      </w:r>
      <w:r>
        <w:rPr>
          <w:rFonts w:hint="eastAsia" w:eastAsia="宋体"/>
          <w:b w:val="0"/>
          <w:bCs w:val="0"/>
          <w:sz w:val="24"/>
          <w:highlight w:val="none"/>
          <w:lang w:val="en-US" w:eastAsia="zh-Hans"/>
        </w:rPr>
        <w:t>民法典</w:t>
      </w:r>
      <w:r>
        <w:rPr>
          <w:rFonts w:hint="eastAsia" w:eastAsia="宋体"/>
          <w:b w:val="0"/>
          <w:bCs w:val="0"/>
          <w:sz w:val="24"/>
          <w:highlight w:val="none"/>
        </w:rPr>
        <w:t>》、《中华人民共和国律师法》及相关法律规定，聘请乙方律师担任常年法律顾问。双方本着自愿、平等、互惠互利、诚实信用的原则，经协商一致，订立本合同，以资共同遵守履行：</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乙方同意接受甲方聘请，指派</w:t>
      </w:r>
      <w:r>
        <w:rPr>
          <w:rFonts w:hint="eastAsia" w:eastAsia="宋体"/>
          <w:b w:val="0"/>
          <w:bCs w:val="0"/>
          <w:sz w:val="24"/>
          <w:highlight w:val="none"/>
          <w:u w:val="none"/>
        </w:rPr>
        <w:t xml:space="preserve">        </w:t>
      </w:r>
      <w:r>
        <w:rPr>
          <w:rFonts w:hint="eastAsia" w:eastAsia="宋体"/>
          <w:b w:val="0"/>
          <w:bCs w:val="0"/>
          <w:sz w:val="24"/>
          <w:highlight w:val="none"/>
        </w:rPr>
        <w:t>（下称乙方律师）为甲方常年法律顾问。乙方承诺：</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1、乙方成立时间在五年以上，在成都市设有常驻机构，且常驻服务机构具有二十名以上执业律师；</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2、乙方近三年来未受到司法行政部门行政处罚或律师协会的行业处分；</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3、乙方按规定通过了有关部门的年度检验；</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4、乙方指派的主办律师为</w:t>
      </w:r>
      <w:r>
        <w:rPr>
          <w:rFonts w:hint="eastAsia" w:eastAsia="宋体"/>
          <w:b w:val="0"/>
          <w:bCs w:val="0"/>
          <w:sz w:val="24"/>
          <w:highlight w:val="none"/>
          <w:u w:val="none"/>
        </w:rPr>
        <w:t xml:space="preserve">   </w:t>
      </w:r>
      <w:r>
        <w:rPr>
          <w:rFonts w:hint="eastAsia" w:eastAsia="宋体"/>
          <w:b w:val="0"/>
          <w:bCs w:val="0"/>
          <w:sz w:val="24"/>
          <w:highlight w:val="none"/>
          <w:u w:val="none"/>
          <w:lang w:val="en-US" w:eastAsia="zh-CN"/>
        </w:rPr>
        <w:t xml:space="preserve"> </w:t>
      </w:r>
      <w:r>
        <w:rPr>
          <w:rFonts w:hint="eastAsia" w:eastAsia="宋体"/>
          <w:b w:val="0"/>
          <w:bCs w:val="0"/>
          <w:sz w:val="24"/>
          <w:highlight w:val="none"/>
          <w:u w:val="none"/>
        </w:rPr>
        <w:t xml:space="preserve">    </w:t>
      </w:r>
      <w:r>
        <w:rPr>
          <w:rFonts w:hint="eastAsia" w:eastAsia="宋体"/>
          <w:b w:val="0"/>
          <w:bCs w:val="0"/>
          <w:sz w:val="24"/>
          <w:highlight w:val="none"/>
        </w:rPr>
        <w:t>，指派的承办律师具备以下条件:</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（1）遵守法律法规，具备较高的政治素质和良好的职业道德；</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（2）法律本科以上学历，具备法律职业资格，拥有八年以上法律执业经验；</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（3）精通法律业务，具有处理复杂、疑难事务的工作经验和能力；</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（4）近三年来没有受过律师协会的行业处分。</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甲方同意上述主办律师可以指派其他律师或律师助理配合完成法律顾问工作，但在书面反馈法律意见时应由上述主办律师签字。如乙方指派的主办律师或承办律师的专业领域或工作能力不能满足甲方业务需要的，甲方有权要求予以更换，直至满意。</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乙方律师在代理活动中必须及时履行法律顾问职责。如承办律师因故不能履行职责时，乙方有义务另行指派专业领域或工作能力能够满足甲方业务需要的律师继续担任甲方法律顾问。当甲方发现乙方律师在履行法律顾问职责时有违反律师职业道德和执业纪律的行为，应立即向乙方法定代表人</w:t>
      </w:r>
      <w:r>
        <w:rPr>
          <w:rFonts w:hint="eastAsia" w:eastAsia="宋体"/>
          <w:b w:val="0"/>
          <w:bCs w:val="0"/>
          <w:sz w:val="24"/>
          <w:highlight w:val="none"/>
          <w:lang w:val="en-US" w:eastAsia="zh-CN"/>
        </w:rPr>
        <w:t>/负责人</w:t>
      </w:r>
      <w:r>
        <w:rPr>
          <w:rFonts w:hint="eastAsia" w:eastAsia="宋体"/>
          <w:b w:val="0"/>
          <w:bCs w:val="0"/>
          <w:sz w:val="24"/>
          <w:highlight w:val="none"/>
        </w:rPr>
        <w:t>反映，经查证属实的，乙方将按事务所规章制度对承办律师进行处罚，并为甲方另行指派专业领域或工作能力能够满足甲方业务需要的律师继续履行法律顾问职责。乙方投诉电话：</w:t>
      </w:r>
      <w:r>
        <w:rPr>
          <w:rFonts w:hint="eastAsia" w:eastAsia="宋体"/>
          <w:b w:val="0"/>
          <w:bCs w:val="0"/>
          <w:sz w:val="24"/>
          <w:highlight w:val="none"/>
          <w:lang w:eastAsia="zh-CN"/>
        </w:rPr>
        <w:t>【</w:t>
      </w:r>
      <w:r>
        <w:rPr>
          <w:rFonts w:hint="eastAsia" w:eastAsia="宋体"/>
          <w:b w:val="0"/>
          <w:bCs w:val="0"/>
          <w:sz w:val="24"/>
          <w:highlight w:val="none"/>
          <w:lang w:val="en-US" w:eastAsia="zh-CN"/>
        </w:rPr>
        <w:t xml:space="preserve">         </w:t>
      </w:r>
      <w:r>
        <w:rPr>
          <w:rFonts w:hint="eastAsia" w:eastAsia="宋体"/>
          <w:b w:val="0"/>
          <w:bCs w:val="0"/>
          <w:sz w:val="24"/>
          <w:highlight w:val="none"/>
          <w:lang w:eastAsia="zh-CN"/>
        </w:rPr>
        <w:t>】</w:t>
      </w:r>
      <w:r>
        <w:rPr>
          <w:rFonts w:hint="eastAsia" w:eastAsia="宋体"/>
          <w:b w:val="0"/>
          <w:bCs w:val="0"/>
          <w:sz w:val="24"/>
          <w:highlight w:val="none"/>
        </w:rPr>
        <w:t>，投诉邮箱：</w:t>
      </w:r>
      <w:r>
        <w:rPr>
          <w:rFonts w:hint="eastAsia" w:eastAsia="宋体"/>
          <w:b w:val="0"/>
          <w:bCs w:val="0"/>
          <w:sz w:val="24"/>
          <w:highlight w:val="none"/>
          <w:lang w:eastAsia="zh-CN"/>
        </w:rPr>
        <w:t>【</w:t>
      </w:r>
      <w:r>
        <w:rPr>
          <w:rFonts w:hint="eastAsia" w:eastAsia="宋体"/>
          <w:b w:val="0"/>
          <w:bCs w:val="0"/>
          <w:sz w:val="24"/>
          <w:highlight w:val="none"/>
          <w:lang w:val="en-US" w:eastAsia="zh-CN"/>
        </w:rPr>
        <w:t xml:space="preserve">        </w:t>
      </w:r>
      <w:r>
        <w:rPr>
          <w:rFonts w:hint="eastAsia" w:eastAsia="宋体"/>
          <w:b w:val="0"/>
          <w:bCs w:val="0"/>
          <w:sz w:val="24"/>
          <w:highlight w:val="none"/>
          <w:lang w:eastAsia="zh-CN"/>
        </w:rPr>
        <w:t>】</w:t>
      </w:r>
      <w:r>
        <w:rPr>
          <w:rFonts w:hint="eastAsia" w:eastAsia="宋体"/>
          <w:b w:val="0"/>
          <w:bCs w:val="0"/>
          <w:sz w:val="24"/>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第二条  乙方为甲方及其子公司（含基金）依法办理下列法律事务，维护甲方的合法权益。</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乙方为甲方及其子公司（含基金）提供贯穿本单位经营、管理活动全过程的专业法律服务，包括法律设计、法律规范、法律控制、法律救济诸方面。其工作主要职责和范围为：</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1、法律设计：在甲方经营管理的决策阶段提供的法律服务，包括：</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法律策划：根据法律规定，通过利弊比较，确定某项决策、经营项目、行为的法律框架、形式；</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合法性审查：对甲方拟作出的决策，实施的经营项目、行为进行合法性审查，以保障甲方经营目的可合法实现；</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法律风险评估：当甲方拟作出的决策，实施的经营项目、行为不可避免地存在一定法律风险时，对其风险进行评估，包括：风险概率、相应法律后果、风险防范对策、风险补救措施。</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2、法律规范：根据法律规定及法律设计内容，对甲方拟作出的决策，经营管理行为进行规范，包括：</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企业结构规范：依据法律规定对甲方组织形式（产权结构、法人治理结构、分支机构等）进行规范；</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规章制度规范：依据法律规定对甲方的各项规章制度进行规范；</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经营行为规范：依据法律规定对甲方的常规合同、操作方式进行规范。</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3、法律控制：在甲方经营管理的实施阶段提供法律服务，包括：</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法律监测：根据法律设计内容，对已经作出的决策、经营项目、行为在实施过程中进行监测；</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法律纠正：对偏离法律设计内容的行为、事实进行纠正、补救。</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4、法律救济：在法律纠纷（违约责任、侵权行为、其他违法行为）出现时，依据法律途径予以解决、消除（法律顾问的工作在司法解决程序中仅限于准备阶段），包括：协商解决（与当事人就纠纷进行协商、谈判）；司法解决（诉讼、仲裁）的法律咨询；行政解决（听证、复议）的法律咨询。</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第三条  乙方律师提供法律顾问服务的常见工作内容：</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1、根据甲方需要，提供法律咨询，提出意见、建议和依据；</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2、为甲方重大决策、重大项目的风险控制工作出具书面法律意见；</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lang w:eastAsia="zh-CN"/>
        </w:rPr>
      </w:pPr>
      <w:r>
        <w:rPr>
          <w:rFonts w:hint="eastAsia" w:eastAsia="宋体"/>
          <w:b w:val="0"/>
          <w:bCs w:val="0"/>
          <w:sz w:val="24"/>
          <w:highlight w:val="none"/>
        </w:rPr>
        <w:t>3、应甲方要求，对相关法律法规及监管规定进行解读</w:t>
      </w:r>
      <w:r>
        <w:rPr>
          <w:rFonts w:hint="eastAsia" w:eastAsia="宋体"/>
          <w:b w:val="0"/>
          <w:bCs w:val="0"/>
          <w:sz w:val="24"/>
          <w:highlight w:val="none"/>
          <w:lang w:eastAsia="zh-CN"/>
        </w:rPr>
        <w:t>，对中国证监会、中国基金业协会颁布的各项监管政策提供相关咨询服务，形成相关政策、法规解读或汇编，不低于2个月一次；</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4、审查合同、协议、章程、确认书、函件等各类法律文件，并出具书面法律意见，对文件有关条款、条件是否落实有关决策机构要求，是否存在对公司明显不利或无法操作等情形，提出意见建议；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5、协助甲方起草、制订、审核或者修改规划、计划、制度等内部文件，协议、合同及会议相关法律文件；</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6、协助甲方建立和完善内部决策流程及操作流程；</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7、应甲方要求，参与甲方会议，并就涉及的法律问题发表律师意见；</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8、应甲方要求，就甲方已经面临或者可能发生的纠纷、仲裁、诉讼等，进行法律论证，提供法律咨询；</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9、应甲方要求，起草、修改、审查业务活动中所需的格式文本或示范文本；</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10、根据甲方需求，为甲方提供法律培训，每年合计不少于</w:t>
      </w:r>
      <w:r>
        <w:rPr>
          <w:rFonts w:hint="eastAsia" w:eastAsia="宋体"/>
          <w:b w:val="0"/>
          <w:bCs w:val="0"/>
          <w:sz w:val="24"/>
          <w:highlight w:val="none"/>
          <w:lang w:val="en-US" w:eastAsia="zh-CN"/>
        </w:rPr>
        <w:t>2</w:t>
      </w:r>
      <w:r>
        <w:rPr>
          <w:rFonts w:hint="eastAsia" w:eastAsia="宋体"/>
          <w:b w:val="0"/>
          <w:bCs w:val="0"/>
          <w:sz w:val="24"/>
          <w:highlight w:val="none"/>
        </w:rPr>
        <w:t>次，每次不少于2个小时；</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11、代甲方发布声明、公告、律师函等文书，代甲方签署、送达或者接收法律文件；</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12、就甲方经营管理存在的或可能遇到的法律问题为甲方提供防范措施及建议；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13、在法律允许的范围内对甲方合作伙伴、客户进行资信调查。</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lang w:val="en-US" w:eastAsia="zh-CN"/>
        </w:rPr>
      </w:pPr>
      <w:r>
        <w:rPr>
          <w:rFonts w:hint="eastAsia" w:eastAsia="宋体"/>
          <w:b w:val="0"/>
          <w:bCs w:val="0"/>
          <w:sz w:val="24"/>
          <w:highlight w:val="none"/>
          <w:lang w:val="en-US" w:eastAsia="zh-CN"/>
        </w:rPr>
        <w:t>14、为甲方提供重大疑难事项会诊服务2次，具体为：就服务期间甲方所面对的重大疑难事项，需要征求法律顾问团队以外律师的专业支持的，乙方将安排法律顾问团队以外的乙方其他律师，以及必要时延聘法律专家学者，从理论和实务两方面，共同研究有关法律问题，并提出解决方案的建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第四条  法律顾问的工作</w:t>
      </w:r>
      <w:r>
        <w:rPr>
          <w:rFonts w:hint="eastAsia" w:eastAsia="宋体"/>
          <w:b w:val="0"/>
          <w:bCs w:val="0"/>
          <w:sz w:val="24"/>
          <w:highlight w:val="none"/>
          <w:lang w:val="en-US" w:eastAsia="zh-CN"/>
        </w:rPr>
        <w:t>采取以下第（  ）种</w:t>
      </w:r>
      <w:r>
        <w:rPr>
          <w:rFonts w:hint="eastAsia" w:eastAsia="宋体"/>
          <w:b w:val="0"/>
          <w:bCs w:val="0"/>
          <w:sz w:val="24"/>
          <w:highlight w:val="none"/>
        </w:rPr>
        <w:t>方式</w:t>
      </w:r>
      <w:r>
        <w:rPr>
          <w:rFonts w:hint="eastAsia" w:eastAsia="宋体"/>
          <w:b w:val="0"/>
          <w:bCs w:val="0"/>
          <w:sz w:val="24"/>
          <w:highlight w:val="none"/>
          <w:lang w:val="en-US" w:eastAsia="zh-CN"/>
        </w:rPr>
        <w:t>进行：</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1、定期方式：乙方指派律师到甲方指定地点办公；</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2、不定期方式：甲方需要律师提供法律服务可随时联系。</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第五条  下列法律服务事项不属于法律顾问工作范围和内容，需要另行签订合同、支付律师费，但乙方应按通常收费标准的80%优惠收取费用：</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1、代理诉讼、仲裁案件；</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2、办理股份有限公司、注册资本额较大的有限责任公司、企业的设立；</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3、办理公司并购和标的额较大的股权转让；</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4、办理公司证券、债券发行、上市或金额较大的其他融资；</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5、企业改制和清算；</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6、大中型项目招投标；</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7、其他需要律师以特有的资格、独立的身份进行，并独立承担责任的专项法律事务。</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第六条  经双方协商，甲方每年支付乙方律师费人民币</w:t>
      </w:r>
      <w:r>
        <w:rPr>
          <w:rFonts w:hint="eastAsia" w:eastAsia="宋体"/>
          <w:b w:val="0"/>
          <w:bCs w:val="0"/>
          <w:sz w:val="24"/>
          <w:highlight w:val="none"/>
          <w:u w:val="none"/>
        </w:rPr>
        <w:t xml:space="preserve"> </w:t>
      </w:r>
      <w:r>
        <w:rPr>
          <w:rFonts w:hint="eastAsia" w:eastAsia="宋体"/>
          <w:b w:val="0"/>
          <w:bCs w:val="0"/>
          <w:sz w:val="24"/>
          <w:highlight w:val="none"/>
          <w:u w:val="none"/>
          <w:lang w:val="en-US" w:eastAsia="zh-CN"/>
        </w:rPr>
        <w:t xml:space="preserve"> </w:t>
      </w:r>
      <w:r>
        <w:rPr>
          <w:rFonts w:hint="eastAsia" w:eastAsia="宋体"/>
          <w:b w:val="0"/>
          <w:bCs w:val="0"/>
          <w:sz w:val="24"/>
          <w:highlight w:val="none"/>
          <w:u w:val="none"/>
        </w:rPr>
        <w:t xml:space="preserve">  </w:t>
      </w:r>
      <w:r>
        <w:rPr>
          <w:rFonts w:hint="eastAsia" w:eastAsia="宋体"/>
          <w:b w:val="0"/>
          <w:bCs w:val="0"/>
          <w:sz w:val="24"/>
          <w:highlight w:val="none"/>
        </w:rPr>
        <w:t>元（大写：</w:t>
      </w:r>
      <w:r>
        <w:rPr>
          <w:rFonts w:hint="eastAsia" w:eastAsia="宋体"/>
          <w:b w:val="0"/>
          <w:bCs w:val="0"/>
          <w:sz w:val="24"/>
          <w:highlight w:val="none"/>
          <w:u w:val="none"/>
          <w:lang w:val="en-US" w:eastAsia="zh-CN"/>
        </w:rPr>
        <w:t xml:space="preserve">  </w:t>
      </w:r>
      <w:r>
        <w:rPr>
          <w:rFonts w:hint="eastAsia" w:eastAsia="宋体"/>
          <w:b w:val="0"/>
          <w:bCs w:val="0"/>
          <w:sz w:val="24"/>
          <w:highlight w:val="none"/>
        </w:rPr>
        <w:t>），于本合同签订并由乙方提供有效合格的增值税专用票据后</w:t>
      </w:r>
      <w:r>
        <w:rPr>
          <w:rFonts w:hint="eastAsia" w:eastAsia="宋体"/>
          <w:b w:val="0"/>
          <w:bCs w:val="0"/>
          <w:sz w:val="24"/>
          <w:highlight w:val="none"/>
          <w:u w:val="none"/>
          <w:lang w:eastAsia="zh-CN"/>
        </w:rPr>
        <w:t>【</w:t>
      </w:r>
      <w:r>
        <w:rPr>
          <w:rFonts w:hint="eastAsia" w:eastAsia="宋体"/>
          <w:b w:val="0"/>
          <w:bCs w:val="0"/>
          <w:sz w:val="24"/>
          <w:highlight w:val="none"/>
          <w:u w:val="none"/>
          <w:lang w:val="en-US" w:eastAsia="zh-CN"/>
        </w:rPr>
        <w:t xml:space="preserve"> 30 </w:t>
      </w:r>
      <w:r>
        <w:rPr>
          <w:rFonts w:hint="eastAsia" w:eastAsia="宋体"/>
          <w:b w:val="0"/>
          <w:bCs w:val="0"/>
          <w:sz w:val="24"/>
          <w:highlight w:val="none"/>
          <w:u w:val="none"/>
          <w:lang w:eastAsia="zh-CN"/>
        </w:rPr>
        <w:t>】</w:t>
      </w:r>
      <w:r>
        <w:rPr>
          <w:rFonts w:hint="eastAsia" w:eastAsia="宋体"/>
          <w:b w:val="0"/>
          <w:bCs w:val="0"/>
          <w:sz w:val="24"/>
          <w:highlight w:val="none"/>
          <w:u w:val="none"/>
        </w:rPr>
        <w:t xml:space="preserve"> </w:t>
      </w:r>
      <w:r>
        <w:rPr>
          <w:rFonts w:hint="eastAsia" w:eastAsia="宋体"/>
          <w:b w:val="0"/>
          <w:bCs w:val="0"/>
          <w:sz w:val="24"/>
          <w:highlight w:val="none"/>
          <w:u w:val="none"/>
          <w:lang w:val="en-US" w:eastAsia="zh-CN"/>
        </w:rPr>
        <w:t>个工作</w:t>
      </w:r>
      <w:r>
        <w:rPr>
          <w:rFonts w:hint="eastAsia" w:eastAsia="宋体"/>
          <w:b w:val="0"/>
          <w:bCs w:val="0"/>
          <w:sz w:val="24"/>
          <w:highlight w:val="none"/>
        </w:rPr>
        <w:t>日内支付</w:t>
      </w:r>
      <w:r>
        <w:rPr>
          <w:rFonts w:hint="eastAsia" w:eastAsia="宋体"/>
          <w:b w:val="0"/>
          <w:bCs w:val="0"/>
          <w:sz w:val="24"/>
          <w:highlight w:val="none"/>
          <w:lang w:val="en-US" w:eastAsia="zh-CN"/>
        </w:rPr>
        <w:t>5</w:t>
      </w:r>
      <w:r>
        <w:rPr>
          <w:rFonts w:hint="eastAsia" w:eastAsia="宋体"/>
          <w:b w:val="0"/>
          <w:bCs w:val="0"/>
          <w:sz w:val="24"/>
          <w:highlight w:val="none"/>
        </w:rPr>
        <w:t>0%，于本合同服务期满，且乙方提供有效合格的增值税专用票据后</w:t>
      </w:r>
      <w:r>
        <w:rPr>
          <w:rFonts w:hint="eastAsia" w:eastAsia="宋体"/>
          <w:b w:val="0"/>
          <w:bCs w:val="0"/>
          <w:sz w:val="24"/>
          <w:highlight w:val="none"/>
          <w:u w:val="none"/>
        </w:rPr>
        <w:t xml:space="preserve">  </w:t>
      </w:r>
      <w:r>
        <w:rPr>
          <w:rFonts w:hint="eastAsia" w:eastAsia="宋体"/>
          <w:b w:val="0"/>
          <w:bCs w:val="0"/>
          <w:sz w:val="24"/>
          <w:highlight w:val="none"/>
          <w:u w:val="none"/>
          <w:lang w:eastAsia="zh-CN"/>
        </w:rPr>
        <w:t xml:space="preserve">【 </w:t>
      </w:r>
      <w:r>
        <w:rPr>
          <w:rFonts w:hint="eastAsia" w:eastAsia="宋体"/>
          <w:b w:val="0"/>
          <w:bCs w:val="0"/>
          <w:sz w:val="24"/>
          <w:highlight w:val="none"/>
          <w:u w:val="none"/>
          <w:lang w:val="en-US" w:eastAsia="zh-CN"/>
        </w:rPr>
        <w:t>30</w:t>
      </w:r>
      <w:r>
        <w:rPr>
          <w:rFonts w:hint="eastAsia" w:eastAsia="宋体"/>
          <w:b w:val="0"/>
          <w:bCs w:val="0"/>
          <w:sz w:val="24"/>
          <w:highlight w:val="none"/>
          <w:u w:val="none"/>
          <w:lang w:eastAsia="zh-CN"/>
        </w:rPr>
        <w:t xml:space="preserve"> 】</w:t>
      </w:r>
      <w:r>
        <w:rPr>
          <w:rFonts w:hint="eastAsia" w:eastAsia="宋体"/>
          <w:b w:val="0"/>
          <w:bCs w:val="0"/>
          <w:sz w:val="24"/>
          <w:highlight w:val="none"/>
          <w:u w:val="none"/>
          <w:lang w:val="en-US" w:eastAsia="zh-CN"/>
        </w:rPr>
        <w:t>个工作</w:t>
      </w:r>
      <w:r>
        <w:rPr>
          <w:rFonts w:hint="eastAsia" w:eastAsia="宋体"/>
          <w:b w:val="0"/>
          <w:bCs w:val="0"/>
          <w:sz w:val="24"/>
          <w:highlight w:val="none"/>
        </w:rPr>
        <w:t>日内，根据甲方对乙方的服务评价支付</w:t>
      </w:r>
      <w:r>
        <w:rPr>
          <w:rFonts w:hint="eastAsia" w:eastAsia="宋体"/>
          <w:b w:val="0"/>
          <w:bCs w:val="0"/>
          <w:sz w:val="24"/>
          <w:highlight w:val="none"/>
          <w:lang w:val="en-US" w:eastAsia="zh-CN"/>
        </w:rPr>
        <w:t>5</w:t>
      </w:r>
      <w:r>
        <w:rPr>
          <w:rFonts w:hint="eastAsia" w:eastAsia="宋体"/>
          <w:b w:val="0"/>
          <w:bCs w:val="0"/>
          <w:sz w:val="24"/>
          <w:highlight w:val="none"/>
        </w:rPr>
        <w:t>0%，评价为合格及以上均全额支付，不合格不予支付。</w:t>
      </w:r>
    </w:p>
    <w:p>
      <w:pPr>
        <w:ind w:firstLine="480" w:firstLineChars="200"/>
        <w:rPr>
          <w:rFonts w:hint="eastAsia" w:ascii="Calibri" w:hAnsi="Calibri" w:eastAsia="宋体"/>
          <w:b w:val="0"/>
          <w:bCs w:val="0"/>
          <w:sz w:val="24"/>
          <w:highlight w:val="none"/>
        </w:rPr>
      </w:pPr>
      <w:r>
        <w:rPr>
          <w:rFonts w:hint="eastAsia" w:ascii="Calibri" w:hAnsi="Calibri" w:eastAsia="宋体"/>
          <w:b w:val="0"/>
          <w:bCs w:val="0"/>
          <w:sz w:val="24"/>
          <w:highlight w:val="none"/>
        </w:rPr>
        <w:t>乙方收款银行账户信息：</w:t>
      </w:r>
    </w:p>
    <w:p>
      <w:pPr>
        <w:ind w:firstLine="480" w:firstLineChars="200"/>
        <w:rPr>
          <w:rFonts w:hint="eastAsia" w:ascii="Calibri" w:hAnsi="Calibri" w:eastAsia="宋体"/>
          <w:b w:val="0"/>
          <w:bCs w:val="0"/>
          <w:sz w:val="24"/>
          <w:highlight w:val="none"/>
        </w:rPr>
      </w:pPr>
      <w:r>
        <w:rPr>
          <w:rFonts w:hint="eastAsia" w:ascii="Calibri" w:hAnsi="Calibri" w:eastAsia="宋体"/>
          <w:b w:val="0"/>
          <w:bCs w:val="0"/>
          <w:sz w:val="24"/>
          <w:highlight w:val="none"/>
        </w:rPr>
        <w:t>开户银行：</w:t>
      </w:r>
      <w:r>
        <w:rPr>
          <w:rFonts w:hint="eastAsia" w:ascii="Calibri" w:hAnsi="Calibri" w:eastAsia="宋体"/>
          <w:b w:val="0"/>
          <w:bCs w:val="0"/>
          <w:sz w:val="24"/>
          <w:highlight w:val="none"/>
          <w:lang w:eastAsia="zh-CN"/>
        </w:rPr>
        <w:t>【</w:t>
      </w:r>
      <w:r>
        <w:rPr>
          <w:rFonts w:hint="eastAsia" w:ascii="Calibri" w:hAnsi="Calibri" w:eastAsia="宋体"/>
          <w:b w:val="0"/>
          <w:bCs w:val="0"/>
          <w:sz w:val="24"/>
          <w:highlight w:val="none"/>
          <w:lang w:val="en-US" w:eastAsia="zh-CN"/>
        </w:rPr>
        <w:t xml:space="preserve">    </w:t>
      </w:r>
      <w:r>
        <w:rPr>
          <w:rFonts w:hint="eastAsia" w:ascii="Calibri" w:hAnsi="Calibri" w:eastAsia="宋体"/>
          <w:b w:val="0"/>
          <w:bCs w:val="0"/>
          <w:sz w:val="24"/>
          <w:highlight w:val="none"/>
          <w:lang w:eastAsia="zh-CN"/>
        </w:rPr>
        <w:t>】</w:t>
      </w:r>
      <w:r>
        <w:rPr>
          <w:rFonts w:hint="eastAsia" w:ascii="Calibri" w:hAnsi="Calibri" w:eastAsia="宋体"/>
          <w:b w:val="0"/>
          <w:bCs w:val="0"/>
          <w:sz w:val="24"/>
          <w:highlight w:val="none"/>
        </w:rPr>
        <w:t>；</w:t>
      </w:r>
    </w:p>
    <w:p>
      <w:pPr>
        <w:ind w:firstLine="480" w:firstLineChars="200"/>
        <w:rPr>
          <w:rFonts w:hint="eastAsia" w:ascii="Calibri" w:hAnsi="Calibri" w:eastAsia="宋体"/>
          <w:b w:val="0"/>
          <w:bCs w:val="0"/>
          <w:sz w:val="24"/>
          <w:highlight w:val="none"/>
        </w:rPr>
      </w:pPr>
      <w:r>
        <w:rPr>
          <w:rFonts w:hint="eastAsia" w:ascii="Calibri" w:hAnsi="Calibri" w:eastAsia="宋体"/>
          <w:b w:val="0"/>
          <w:bCs w:val="0"/>
          <w:sz w:val="24"/>
          <w:highlight w:val="none"/>
        </w:rPr>
        <w:t>户名：</w:t>
      </w:r>
      <w:r>
        <w:rPr>
          <w:rFonts w:hint="eastAsia" w:ascii="Calibri" w:hAnsi="Calibri" w:eastAsia="宋体"/>
          <w:b w:val="0"/>
          <w:bCs w:val="0"/>
          <w:sz w:val="24"/>
          <w:highlight w:val="none"/>
          <w:lang w:eastAsia="zh-CN"/>
        </w:rPr>
        <w:t>【</w:t>
      </w:r>
      <w:r>
        <w:rPr>
          <w:rFonts w:hint="eastAsia" w:ascii="Calibri" w:hAnsi="Calibri" w:eastAsia="宋体"/>
          <w:b w:val="0"/>
          <w:bCs w:val="0"/>
          <w:sz w:val="24"/>
          <w:highlight w:val="none"/>
          <w:lang w:val="en-US" w:eastAsia="zh-CN"/>
        </w:rPr>
        <w:t xml:space="preserve">    </w:t>
      </w:r>
      <w:r>
        <w:rPr>
          <w:rFonts w:hint="eastAsia" w:ascii="Calibri" w:hAnsi="Calibri" w:eastAsia="宋体"/>
          <w:b w:val="0"/>
          <w:bCs w:val="0"/>
          <w:sz w:val="24"/>
          <w:highlight w:val="none"/>
          <w:lang w:eastAsia="zh-CN"/>
        </w:rPr>
        <w:t>】</w:t>
      </w:r>
      <w:r>
        <w:rPr>
          <w:rFonts w:hint="eastAsia" w:ascii="Calibri" w:hAnsi="Calibri" w:eastAsia="宋体"/>
          <w:b w:val="0"/>
          <w:bCs w:val="0"/>
          <w:sz w:val="24"/>
          <w:highlight w:val="none"/>
        </w:rPr>
        <w:t>；</w:t>
      </w:r>
    </w:p>
    <w:p>
      <w:pPr>
        <w:ind w:firstLine="480" w:firstLineChars="200"/>
        <w:rPr>
          <w:rFonts w:hint="eastAsia" w:ascii="Calibri" w:hAnsi="Calibri" w:eastAsia="宋体"/>
          <w:b w:val="0"/>
          <w:bCs w:val="0"/>
          <w:sz w:val="24"/>
          <w:highlight w:val="none"/>
        </w:rPr>
      </w:pPr>
      <w:r>
        <w:rPr>
          <w:rFonts w:hint="eastAsia" w:ascii="Calibri" w:hAnsi="Calibri" w:eastAsia="宋体"/>
          <w:b w:val="0"/>
          <w:bCs w:val="0"/>
          <w:sz w:val="24"/>
          <w:highlight w:val="none"/>
        </w:rPr>
        <w:t>账号：</w:t>
      </w:r>
      <w:r>
        <w:rPr>
          <w:rFonts w:hint="eastAsia" w:ascii="Calibri" w:hAnsi="Calibri" w:eastAsia="宋体"/>
          <w:b w:val="0"/>
          <w:bCs w:val="0"/>
          <w:sz w:val="24"/>
          <w:highlight w:val="none"/>
          <w:lang w:eastAsia="zh-CN"/>
        </w:rPr>
        <w:t>【</w:t>
      </w:r>
      <w:r>
        <w:rPr>
          <w:rFonts w:hint="eastAsia" w:ascii="Calibri" w:hAnsi="Calibri" w:eastAsia="宋体"/>
          <w:b w:val="0"/>
          <w:bCs w:val="0"/>
          <w:sz w:val="24"/>
          <w:highlight w:val="none"/>
          <w:lang w:val="en-US" w:eastAsia="zh-CN"/>
        </w:rPr>
        <w:t xml:space="preserve">    </w:t>
      </w:r>
      <w:r>
        <w:rPr>
          <w:rFonts w:hint="eastAsia" w:ascii="Calibri" w:hAnsi="Calibri" w:eastAsia="宋体"/>
          <w:b w:val="0"/>
          <w:bCs w:val="0"/>
          <w:sz w:val="24"/>
          <w:highlight w:val="none"/>
          <w:lang w:eastAsia="zh-CN"/>
        </w:rPr>
        <w:t>】</w:t>
      </w:r>
      <w:r>
        <w:rPr>
          <w:rFonts w:hint="eastAsia" w:ascii="Calibri" w:hAnsi="Calibri" w:eastAsia="宋体"/>
          <w:b w:val="0"/>
          <w:bCs w:val="0"/>
          <w:sz w:val="24"/>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依据律师行业相关管理规定，甲方须将律师费付至乙方账户或乙方出纳处。未经乙方法定代表人同意，甲方不得以任何理由将律师费付至除乙方账户和乙方出纳以外的其它任何单位或个人（包括乙方律师及其指定的人）。甲方违反此规定支付的任何款项，乙方一律不予认可，且甲方按本合同约定应向乙方支付律师费的义务不能因此而免除或减少。</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第七条  乙方在履行法律顾问职责过程中发生的差旅费由甲方按照下列</w:t>
      </w:r>
      <w:r>
        <w:rPr>
          <w:rFonts w:hint="eastAsia" w:eastAsia="宋体"/>
          <w:b w:val="0"/>
          <w:bCs w:val="0"/>
          <w:sz w:val="24"/>
          <w:highlight w:val="none"/>
          <w:lang w:val="en-US" w:eastAsia="zh-CN"/>
        </w:rPr>
        <w:t>第（3）种</w:t>
      </w:r>
      <w:r>
        <w:rPr>
          <w:rFonts w:hint="eastAsia" w:eastAsia="宋体"/>
          <w:b w:val="0"/>
          <w:bCs w:val="0"/>
          <w:sz w:val="24"/>
          <w:highlight w:val="none"/>
        </w:rPr>
        <w:t>方式负担：</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1、已包含在本合同约定的律师费中；</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2、定额</w:t>
      </w:r>
      <w:r>
        <w:rPr>
          <w:rFonts w:hint="eastAsia" w:eastAsia="宋体"/>
          <w:b w:val="0"/>
          <w:bCs w:val="0"/>
          <w:sz w:val="24"/>
          <w:highlight w:val="none"/>
          <w:u w:val="none"/>
        </w:rPr>
        <w:t xml:space="preserve">  /  </w:t>
      </w:r>
      <w:r>
        <w:rPr>
          <w:rFonts w:hint="eastAsia" w:eastAsia="宋体"/>
          <w:b w:val="0"/>
          <w:bCs w:val="0"/>
          <w:sz w:val="24"/>
          <w:highlight w:val="none"/>
        </w:rPr>
        <w:t>元由乙方包干使用，于本合同签订后</w:t>
      </w:r>
      <w:r>
        <w:rPr>
          <w:rFonts w:hint="eastAsia" w:eastAsia="宋体"/>
          <w:b w:val="0"/>
          <w:bCs w:val="0"/>
          <w:sz w:val="24"/>
          <w:highlight w:val="none"/>
          <w:u w:val="none"/>
        </w:rPr>
        <w:t xml:space="preserve">  /  </w:t>
      </w:r>
      <w:r>
        <w:rPr>
          <w:rFonts w:hint="eastAsia" w:eastAsia="宋体"/>
          <w:b w:val="0"/>
          <w:bCs w:val="0"/>
          <w:sz w:val="24"/>
          <w:highlight w:val="none"/>
        </w:rPr>
        <w:t xml:space="preserve">日内另行支付； </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3、在</w:t>
      </w:r>
      <w:r>
        <w:rPr>
          <w:rFonts w:hint="eastAsia" w:eastAsia="宋体"/>
          <w:b w:val="0"/>
          <w:bCs w:val="0"/>
          <w:sz w:val="24"/>
          <w:highlight w:val="none"/>
          <w:u w:val="none"/>
        </w:rPr>
        <w:t xml:space="preserve">  成都  </w:t>
      </w:r>
      <w:r>
        <w:rPr>
          <w:rFonts w:hint="eastAsia" w:eastAsia="宋体"/>
          <w:b w:val="0"/>
          <w:bCs w:val="0"/>
          <w:sz w:val="24"/>
          <w:highlight w:val="none"/>
        </w:rPr>
        <w:t>（地域）范围内已包含在本合同约定的律师费中，超出该范围履行职责的</w:t>
      </w:r>
      <w:r>
        <w:rPr>
          <w:rFonts w:hint="eastAsia" w:eastAsia="宋体"/>
          <w:b w:val="0"/>
          <w:bCs w:val="0"/>
          <w:sz w:val="24"/>
          <w:highlight w:val="none"/>
          <w:lang w:eastAsia="zh-CN"/>
        </w:rPr>
        <w:t>，</w:t>
      </w:r>
      <w:r>
        <w:rPr>
          <w:rFonts w:hint="eastAsia" w:eastAsia="宋体"/>
          <w:b w:val="0"/>
          <w:bCs w:val="0"/>
          <w:sz w:val="24"/>
          <w:highlight w:val="none"/>
          <w:lang w:val="en-US" w:eastAsia="zh-CN"/>
        </w:rPr>
        <w:t>根据以下第（2）种方式进行结算</w:t>
      </w:r>
      <w:r>
        <w:rPr>
          <w:rFonts w:hint="eastAsia" w:eastAsia="宋体"/>
          <w:b w:val="0"/>
          <w:bCs w:val="0"/>
          <w:sz w:val="24"/>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（1）甲方预付，再由乙方凭票据向甲方结算报销；或者甲方派员直接支付。</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（2）乙方垫支，再凭票据及时与甲方结算报销。</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第八条  乙方在履行法律顾问职责过程中对第三方支付的查档费、公证费、鉴定费等费用，均由甲方直接支付或乙方凭票报销。</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第九条  如甲方未按本合同第六条、第七条第2、3项、第八条的约定向乙方付清费用，乙方有权中止或解除本合同，已收律师费不予退还，甲方应按照未支付费用金额的10%支付违约金；超过30日仍未付清的，甲方还应按未支付费用金额每月2%的利率支付乙方利息。</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第十条  乙方律师依本合同享有如下权利、义务：</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（一）权利包括：</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1、查阅与承办法律事务有关的甲方文件和资料；</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2、了解甲方的生产、经营、管理和对外联系活动中</w:t>
      </w:r>
      <w:r>
        <w:rPr>
          <w:rFonts w:hint="eastAsia" w:eastAsia="宋体"/>
          <w:b w:val="0"/>
          <w:bCs w:val="0"/>
          <w:sz w:val="24"/>
          <w:highlight w:val="none"/>
          <w:lang w:val="en-US" w:eastAsia="zh-CN"/>
        </w:rPr>
        <w:t>与甲方咨询事务相关</w:t>
      </w:r>
      <w:r>
        <w:rPr>
          <w:rFonts w:hint="eastAsia" w:eastAsia="宋体"/>
          <w:b w:val="0"/>
          <w:bCs w:val="0"/>
          <w:sz w:val="24"/>
          <w:highlight w:val="none"/>
        </w:rPr>
        <w:t>的情况；</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3、列席甲方领导人召集的生产、经营、管理和对外活动中的有关会议；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4、获得履行甲方法律顾问职责所必须的办公、交通及其他工作条件和便利。</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（二）义务包括：</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1、乙方律师应当及时承办甲方委托办理的有关法律事务，认真履行职责；</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2、乙方律师应根据合同、协议约定和甲方的委托授权对外开展工作，不得超越委托代理权限；</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3、乙方律师不得从事有损于聘请单位合法权益的活动，不得在民事、经济、行政诉讼或仲裁活动中担任对立一方当事人的代理人；</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4、乙方律师在其受聘的两个（或两个以上）单位之间发生争议时，应当进行调解，但该律师不得代理任何一方参加诉讼或仲裁；</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5、乙方律师对在工作中接触、了解到的有关甲方生产、经营、管理和对外联系活动中的商业秘密，负有保守秘密的责任。</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6、乙方律师应当保证有足够的时间为甲方及其子公司（含基金）提供法律服务，并确保联络通讯无阻；</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7、乙方律师应当勤勉尽责，认真工作，切实维护甲方及其子公司（含基金）的合法权益；</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8、乙方出具的书面法律意见应由乙方主办律师签字和乙方律师事务所盖章，发表律师意见应由乙方主办律师签字。</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9、乙方应根据提供法律服务的内容，按甲方要求提供工作台账，包括但不限于完成的工作事项、建议方案和提供的文书等，上述材料应由乙方主办律师签字后乙方律师事务所盖章；</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10、乙方应按甲方要求定期或不定期提供上门服务，原则上为每周半天；</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11、乙方律师对甲方问询事项，一般应在二十四小时内按甲方要求，通过书面信函、邮件、电话、微信、QQ、短信等方式回复；对甲方征求意见事项，一般应在2个工作日内出具签字盖章的法律审查意见；对于复杂、疑难法律事务，应在5个工作日内提出法律意见或解决方案。</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第十一条  如甲方因非乙方原因终止或解除合同，乙方不退还已收取的律师费，并有权追索甲方按合同约定应支付的全部费用；如乙方因非甲方原因终止或解除合同，</w:t>
      </w:r>
      <w:r>
        <w:rPr>
          <w:rFonts w:hint="eastAsia" w:eastAsia="宋体"/>
          <w:b w:val="0"/>
          <w:bCs w:val="0"/>
          <w:sz w:val="24"/>
          <w:highlight w:val="none"/>
          <w:lang w:val="en-US" w:eastAsia="zh-CN"/>
        </w:rPr>
        <w:t>乙方应将所收的全部律师费</w:t>
      </w:r>
      <w:r>
        <w:rPr>
          <w:rFonts w:hint="eastAsia" w:eastAsia="宋体"/>
          <w:b w:val="0"/>
          <w:bCs w:val="0"/>
          <w:sz w:val="24"/>
          <w:highlight w:val="none"/>
        </w:rPr>
        <w:t>退回甲方。</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第十二条  甲方委托乙方律师办理的事项违反法律、法规、规章或者违反乙方律师执业规范的，以及甲方向乙方律师提供的资料有故意误导、隐瞒及其他违规行为，致使乙方律师不能有效履行法律顾问职责的，乙方有权解除本合同，并退还未履职期间律师费。</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第十三条  甲方向乙方律师提供的相关证据资料一般情况应是复印件，不提供原件。如甲方要求乙方对甲方提供的证据资料负保管义务，应签订资料交接清单，明确交接资料名称、页数，交接双方和交接时间。</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第十四条  若因乙方律师故意或重大过错造成甲方经济损失，乙方应向甲方承担损失赔偿责任，并返还已收取的律师费。</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第十五条  甲乙双方因履行本合同而相互发出或者提供的所有书面通知、文件、资料，均以本合同尾部所列明的地址、传真或电子信箱送达。一方如果变更通信地址或其它联系方式，须在五日内书面通知对方。否则，导致对方不能依约履行职责或行使相应权利的，由违约方承担全部责任。</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第十六条  本合同履行期为</w:t>
      </w:r>
      <w:r>
        <w:rPr>
          <w:rFonts w:hint="eastAsia" w:eastAsia="宋体"/>
          <w:b w:val="0"/>
          <w:bCs w:val="0"/>
          <w:sz w:val="24"/>
          <w:highlight w:val="none"/>
          <w:u w:val="none"/>
        </w:rPr>
        <w:t xml:space="preserve">   壹   </w:t>
      </w:r>
      <w:r>
        <w:rPr>
          <w:rFonts w:hint="eastAsia" w:eastAsia="宋体"/>
          <w:b w:val="0"/>
          <w:bCs w:val="0"/>
          <w:sz w:val="24"/>
          <w:highlight w:val="none"/>
        </w:rPr>
        <w:t>年（自</w:t>
      </w:r>
      <w:r>
        <w:rPr>
          <w:rFonts w:hint="eastAsia" w:eastAsia="宋体"/>
          <w:b w:val="0"/>
          <w:bCs w:val="0"/>
          <w:sz w:val="24"/>
          <w:highlight w:val="none"/>
          <w:u w:val="none"/>
        </w:rPr>
        <w:t xml:space="preserve">  20</w:t>
      </w:r>
      <w:r>
        <w:rPr>
          <w:rFonts w:hint="eastAsia" w:eastAsia="宋体"/>
          <w:b w:val="0"/>
          <w:bCs w:val="0"/>
          <w:sz w:val="24"/>
          <w:highlight w:val="none"/>
          <w:u w:val="none"/>
          <w:lang w:val="en-US" w:eastAsia="zh-CN"/>
        </w:rPr>
        <w:t>25</w:t>
      </w:r>
      <w:r>
        <w:rPr>
          <w:rFonts w:hint="eastAsia" w:eastAsia="宋体"/>
          <w:b w:val="0"/>
          <w:bCs w:val="0"/>
          <w:sz w:val="24"/>
          <w:highlight w:val="none"/>
          <w:u w:val="none"/>
        </w:rPr>
        <w:t xml:space="preserve">  </w:t>
      </w:r>
      <w:r>
        <w:rPr>
          <w:rFonts w:hint="eastAsia" w:eastAsia="宋体"/>
          <w:b w:val="0"/>
          <w:bCs w:val="0"/>
          <w:sz w:val="24"/>
          <w:highlight w:val="none"/>
        </w:rPr>
        <w:t>年</w:t>
      </w:r>
      <w:r>
        <w:rPr>
          <w:rFonts w:hint="eastAsia" w:eastAsia="宋体"/>
          <w:b w:val="0"/>
          <w:bCs w:val="0"/>
          <w:sz w:val="24"/>
          <w:highlight w:val="none"/>
          <w:u w:val="none"/>
        </w:rPr>
        <w:t xml:space="preserve"> 7</w:t>
      </w:r>
      <w:r>
        <w:rPr>
          <w:rFonts w:hint="eastAsia" w:eastAsia="宋体"/>
          <w:b w:val="0"/>
          <w:bCs w:val="0"/>
          <w:sz w:val="24"/>
          <w:highlight w:val="none"/>
        </w:rPr>
        <w:t>月</w:t>
      </w:r>
      <w:r>
        <w:rPr>
          <w:rFonts w:hint="eastAsia" w:eastAsia="宋体"/>
          <w:b w:val="0"/>
          <w:bCs w:val="0"/>
          <w:sz w:val="24"/>
          <w:highlight w:val="none"/>
          <w:u w:val="none"/>
        </w:rPr>
        <w:t xml:space="preserve"> 1</w:t>
      </w:r>
      <w:r>
        <w:rPr>
          <w:rFonts w:hint="eastAsia" w:eastAsia="宋体"/>
          <w:b w:val="0"/>
          <w:bCs w:val="0"/>
          <w:sz w:val="24"/>
          <w:highlight w:val="none"/>
        </w:rPr>
        <w:t>日起至</w:t>
      </w:r>
      <w:r>
        <w:rPr>
          <w:rFonts w:hint="eastAsia" w:eastAsia="宋体"/>
          <w:b w:val="0"/>
          <w:bCs w:val="0"/>
          <w:sz w:val="24"/>
          <w:highlight w:val="none"/>
          <w:u w:val="none"/>
        </w:rPr>
        <w:t xml:space="preserve">  </w:t>
      </w:r>
      <w:r>
        <w:rPr>
          <w:rFonts w:hint="eastAsia" w:eastAsia="宋体"/>
          <w:b w:val="0"/>
          <w:bCs w:val="0"/>
          <w:sz w:val="24"/>
          <w:highlight w:val="none"/>
          <w:u w:val="none"/>
          <w:lang w:eastAsia="zh-CN"/>
        </w:rPr>
        <w:t>202</w:t>
      </w:r>
      <w:r>
        <w:rPr>
          <w:rFonts w:hint="eastAsia" w:eastAsia="宋体"/>
          <w:b w:val="0"/>
          <w:bCs w:val="0"/>
          <w:sz w:val="24"/>
          <w:highlight w:val="none"/>
          <w:u w:val="none"/>
          <w:lang w:val="en-US" w:eastAsia="zh-CN"/>
        </w:rPr>
        <w:t>6</w:t>
      </w:r>
      <w:r>
        <w:rPr>
          <w:rFonts w:hint="eastAsia" w:eastAsia="宋体"/>
          <w:b w:val="0"/>
          <w:bCs w:val="0"/>
          <w:sz w:val="24"/>
          <w:highlight w:val="none"/>
          <w:u w:val="none"/>
        </w:rPr>
        <w:t xml:space="preserve">  </w:t>
      </w:r>
      <w:r>
        <w:rPr>
          <w:rFonts w:hint="eastAsia" w:eastAsia="宋体"/>
          <w:b w:val="0"/>
          <w:bCs w:val="0"/>
          <w:sz w:val="24"/>
          <w:highlight w:val="none"/>
        </w:rPr>
        <w:t>年</w:t>
      </w:r>
      <w:r>
        <w:rPr>
          <w:rFonts w:hint="eastAsia" w:eastAsia="宋体"/>
          <w:b w:val="0"/>
          <w:bCs w:val="0"/>
          <w:sz w:val="24"/>
          <w:highlight w:val="none"/>
          <w:u w:val="none"/>
        </w:rPr>
        <w:t xml:space="preserve">  6  </w:t>
      </w:r>
      <w:r>
        <w:rPr>
          <w:rFonts w:hint="eastAsia" w:eastAsia="宋体"/>
          <w:b w:val="0"/>
          <w:bCs w:val="0"/>
          <w:sz w:val="24"/>
          <w:highlight w:val="none"/>
        </w:rPr>
        <w:t>月</w:t>
      </w:r>
      <w:r>
        <w:rPr>
          <w:rFonts w:hint="eastAsia" w:eastAsia="宋体"/>
          <w:b w:val="0"/>
          <w:bCs w:val="0"/>
          <w:sz w:val="24"/>
          <w:highlight w:val="none"/>
          <w:u w:val="none"/>
        </w:rPr>
        <w:t xml:space="preserve"> 30 </w:t>
      </w:r>
      <w:r>
        <w:rPr>
          <w:rFonts w:hint="eastAsia" w:eastAsia="宋体"/>
          <w:b w:val="0"/>
          <w:bCs w:val="0"/>
          <w:sz w:val="24"/>
          <w:highlight w:val="none"/>
        </w:rPr>
        <w:t>日止），期满前如甲方需要继续聘请法律顾问，双方需另行签订合同。</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w:t>
      </w:r>
      <w:r>
        <w:rPr>
          <w:rFonts w:hint="eastAsia" w:eastAsia="宋体"/>
          <w:b w:val="0"/>
          <w:bCs w:val="0"/>
          <w:sz w:val="24"/>
          <w:highlight w:val="none"/>
          <w:lang w:val="en-US" w:eastAsia="zh-CN"/>
        </w:rPr>
        <w:t>七</w:t>
      </w:r>
      <w:r>
        <w:rPr>
          <w:rFonts w:hint="eastAsia" w:eastAsia="宋体"/>
          <w:b w:val="0"/>
          <w:bCs w:val="0"/>
          <w:sz w:val="24"/>
          <w:highlight w:val="none"/>
        </w:rPr>
        <w:t>条  本合同受中华人民共和国法律管辖并按其进行解释。在履行过程中如果发生争议，双方应协商解决；协商不成的，双方均可向</w:t>
      </w:r>
      <w:r>
        <w:rPr>
          <w:rFonts w:hint="eastAsia" w:eastAsia="宋体"/>
          <w:b w:val="0"/>
          <w:bCs w:val="0"/>
          <w:sz w:val="24"/>
          <w:highlight w:val="none"/>
          <w:lang w:val="en-US" w:eastAsia="zh-CN"/>
        </w:rPr>
        <w:t>甲</w:t>
      </w:r>
      <w:r>
        <w:rPr>
          <w:rFonts w:hint="eastAsia" w:eastAsia="宋体"/>
          <w:b w:val="0"/>
          <w:bCs w:val="0"/>
          <w:sz w:val="24"/>
          <w:highlight w:val="none"/>
        </w:rPr>
        <w:t>方所在地法院起诉。</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eastAsia="宋体"/>
          <w:b w:val="0"/>
          <w:bCs w:val="0"/>
          <w:sz w:val="24"/>
          <w:highlight w:val="none"/>
        </w:rPr>
      </w:pPr>
      <w:r>
        <w:rPr>
          <w:rFonts w:hint="eastAsia" w:eastAsia="宋体"/>
          <w:b w:val="0"/>
          <w:bCs w:val="0"/>
          <w:sz w:val="24"/>
          <w:highlight w:val="none"/>
        </w:rPr>
        <w:t>第十</w:t>
      </w:r>
      <w:r>
        <w:rPr>
          <w:rFonts w:hint="eastAsia" w:eastAsia="宋体"/>
          <w:b w:val="0"/>
          <w:bCs w:val="0"/>
          <w:sz w:val="24"/>
          <w:highlight w:val="none"/>
          <w:lang w:val="en-US" w:eastAsia="zh-CN"/>
        </w:rPr>
        <w:t>八</w:t>
      </w:r>
      <w:r>
        <w:rPr>
          <w:rFonts w:hint="eastAsia" w:eastAsia="宋体"/>
          <w:b w:val="0"/>
          <w:bCs w:val="0"/>
          <w:sz w:val="24"/>
          <w:highlight w:val="none"/>
        </w:rPr>
        <w:t>条  本合同经双方代表签字并加盖公章后生效，一式叁份，甲乙双方各持壹份，另壹份由乙方律师归档入卷。</w:t>
      </w:r>
    </w:p>
    <w:p>
      <w:pPr>
        <w:widowControl/>
        <w:ind w:firstLine="480" w:firstLineChars="200"/>
        <w:rPr>
          <w:rFonts w:hint="eastAsia" w:eastAsia="宋体"/>
          <w:b w:val="0"/>
          <w:bCs w:val="0"/>
          <w:sz w:val="24"/>
          <w:highlight w:val="none"/>
        </w:rPr>
      </w:pPr>
      <w:r>
        <w:rPr>
          <w:rFonts w:hint="eastAsia" w:eastAsia="宋体"/>
          <w:b w:val="0"/>
          <w:bCs w:val="0"/>
          <w:sz w:val="24"/>
          <w:highlight w:val="none"/>
        </w:rPr>
        <w:t>第十</w:t>
      </w:r>
      <w:r>
        <w:rPr>
          <w:rFonts w:hint="eastAsia" w:eastAsia="宋体"/>
          <w:b w:val="0"/>
          <w:bCs w:val="0"/>
          <w:sz w:val="24"/>
          <w:highlight w:val="none"/>
          <w:lang w:val="en-US" w:eastAsia="zh-CN"/>
        </w:rPr>
        <w:t>九</w:t>
      </w:r>
      <w:r>
        <w:rPr>
          <w:rFonts w:hint="eastAsia" w:eastAsia="宋体"/>
          <w:b w:val="0"/>
          <w:bCs w:val="0"/>
          <w:sz w:val="24"/>
          <w:highlight w:val="none"/>
        </w:rPr>
        <w:t>条  其他约定：（</w:t>
      </w:r>
      <w:r>
        <w:rPr>
          <w:rFonts w:hint="eastAsia" w:eastAsia="宋体"/>
          <w:b w:val="0"/>
          <w:bCs w:val="0"/>
          <w:sz w:val="24"/>
          <w:highlight w:val="none"/>
          <w:lang w:val="en-US" w:eastAsia="zh-Hans"/>
        </w:rPr>
        <w:t>利益冲突</w:t>
      </w:r>
      <w:r>
        <w:rPr>
          <w:rFonts w:hint="eastAsia" w:eastAsia="宋体"/>
          <w:b w:val="0"/>
          <w:bCs w:val="0"/>
          <w:sz w:val="24"/>
          <w:highlight w:val="none"/>
          <w:lang w:eastAsia="zh-Hans"/>
        </w:rPr>
        <w:t>）</w:t>
      </w:r>
      <w:r>
        <w:rPr>
          <w:rFonts w:hint="eastAsia" w:eastAsia="宋体"/>
          <w:b w:val="0"/>
          <w:bCs w:val="0"/>
          <w:sz w:val="24"/>
          <w:highlight w:val="none"/>
          <w:u w:val="none"/>
        </w:rPr>
        <w:t>乙方为全球性法律服务机构，国内办公室和境外联盟办公室众多，乙方已经在各业务团队、各办公室之间采取了业务隔离和防火墙措施。为避免本合同项下委托事项给乙方及其国内各办公室其他律师造成执业不便。除本案代理律师外，乙方及其国内办公室其他律师可以代理甲方对方当事人委托的与本委托事项无关的、独立于本合同委托事项之外的诉讼及非诉讼案件。本合同其他条款内容与本条款不一致的，以本条款为准。</w:t>
      </w:r>
    </w:p>
    <w:bookmarkEnd w:id="1"/>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360"/>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- 26 -</w:t>
                    </w:r>
                    <w:r>
                      <w:fldChar w:fldCharType="end"/>
                    </w:r>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- 1 -</w:t>
                    </w:r>
                    <w:r>
                      <w:fldChar w:fldCharType="end"/>
                    </w:r>
                  </w:p>
                </w:txbxContent>
              </v:textbox>
            </v:shape>
          </w:pict>
        </mc:Fallback>
      </mc:AlternateContent>
    </w:r>
  </w:p>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3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A2FAF"/>
    <w:multiLevelType w:val="singleLevel"/>
    <w:tmpl w:val="83BA2FAF"/>
    <w:lvl w:ilvl="0" w:tentative="0">
      <w:start w:val="1"/>
      <w:numFmt w:val="chineseCounting"/>
      <w:suff w:val="nothing"/>
      <w:lvlText w:val="%1、"/>
      <w:lvlJc w:val="left"/>
      <w:rPr>
        <w:rFonts w:hint="eastAsia"/>
      </w:rPr>
    </w:lvl>
  </w:abstractNum>
  <w:abstractNum w:abstractNumId="1">
    <w:nsid w:val="624A8E69"/>
    <w:multiLevelType w:val="singleLevel"/>
    <w:tmpl w:val="624A8E69"/>
    <w:lvl w:ilvl="0" w:tentative="0">
      <w:start w:val="1"/>
      <w:numFmt w:val="chineseCounting"/>
      <w:suff w:val="space"/>
      <w:lvlText w:val="第%1章"/>
      <w:lvlJc w:val="left"/>
      <w:pPr>
        <w:ind w:left="58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jIxYTc5NmEwNTY4YTUyMzI1NmIwMzg0OGQzZjAifQ=="/>
  </w:docVars>
  <w:rsids>
    <w:rsidRoot w:val="65BD4047"/>
    <w:rsid w:val="005F0DD9"/>
    <w:rsid w:val="032A39B5"/>
    <w:rsid w:val="273E6B6C"/>
    <w:rsid w:val="29BB5F06"/>
    <w:rsid w:val="64AE5E3B"/>
    <w:rsid w:val="65BD4047"/>
    <w:rsid w:val="726E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4"/>
    <w:autoRedefine/>
    <w:unhideWhenUsed/>
    <w:qFormat/>
    <w:uiPriority w:val="9"/>
    <w:pPr>
      <w:keepNext/>
      <w:keepLines/>
      <w:spacing w:before="260" w:after="260" w:line="412" w:lineRule="auto"/>
      <w:outlineLvl w:val="2"/>
    </w:pPr>
    <w:rPr>
      <w:rFonts w:ascii="等线" w:hAnsi="等线" w:eastAsia="等线" w:cs="Times New Roman"/>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rPr>
      <w:rFonts w:ascii="等线" w:hAnsi="等线" w:eastAsia="等线" w:cs="Times New Roman"/>
    </w:rPr>
  </w:style>
  <w:style w:type="paragraph" w:styleId="4">
    <w:name w:val="Normal Indent"/>
    <w:basedOn w:val="1"/>
    <w:unhideWhenUsed/>
    <w:qFormat/>
    <w:uiPriority w:val="99"/>
    <w:pPr>
      <w:ind w:firstLine="420" w:firstLineChars="200"/>
    </w:pPr>
  </w:style>
  <w:style w:type="paragraph" w:styleId="5">
    <w:name w:val="annotation text"/>
    <w:basedOn w:val="1"/>
    <w:autoRedefine/>
    <w:qFormat/>
    <w:uiPriority w:val="0"/>
    <w:pPr>
      <w:jc w:val="left"/>
    </w:pPr>
  </w:style>
  <w:style w:type="paragraph" w:styleId="6">
    <w:name w:val="toc 3"/>
    <w:basedOn w:val="1"/>
    <w:next w:val="1"/>
    <w:autoRedefine/>
    <w:unhideWhenUsed/>
    <w:qFormat/>
    <w:uiPriority w:val="39"/>
    <w:pPr>
      <w:ind w:left="840" w:leftChars="400"/>
    </w:pPr>
    <w:rPr>
      <w:rFonts w:ascii="等线" w:hAnsi="等线" w:eastAsia="等线" w:cs="Times New Roman"/>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563C1"/>
      <w:u w:val="single"/>
    </w:rPr>
  </w:style>
  <w:style w:type="paragraph" w:customStyle="1" w:styleId="12">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2025-05-23T08:42:00Z</dcterms:created>
  <dc:creator>严筱波</dc:creator>
  <cp:lastModifiedBy>严筱波</cp:lastModifiedBy>
  <dcterms:modified xsi:type="dcterms:W3CDTF">2025-06-11T01:28:47Z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BE1631F4881F4E7A889B8596FCDC012C_13</vt:lpwstr>
  </property>
</Properties>
</file>