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1C95"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881B55B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常年法律顾问服务评价标准</w:t>
      </w:r>
    </w:p>
    <w:tbl>
      <w:tblPr>
        <w:tblStyle w:val="13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099"/>
        <w:gridCol w:w="8378"/>
        <w:gridCol w:w="983"/>
      </w:tblGrid>
      <w:tr w14:paraId="063F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97" w:type="dxa"/>
            <w:vAlign w:val="top"/>
          </w:tcPr>
          <w:p w14:paraId="03E50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评价维度</w:t>
            </w:r>
          </w:p>
        </w:tc>
        <w:tc>
          <w:tcPr>
            <w:tcW w:w="2099" w:type="dxa"/>
            <w:vAlign w:val="top"/>
          </w:tcPr>
          <w:p w14:paraId="7618E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具体评价指标</w:t>
            </w:r>
          </w:p>
        </w:tc>
        <w:tc>
          <w:tcPr>
            <w:tcW w:w="8378" w:type="dxa"/>
            <w:vAlign w:val="top"/>
          </w:tcPr>
          <w:p w14:paraId="5E8ED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评分标准（总分100分）</w:t>
            </w:r>
          </w:p>
        </w:tc>
        <w:tc>
          <w:tcPr>
            <w:tcW w:w="983" w:type="dxa"/>
            <w:vAlign w:val="top"/>
          </w:tcPr>
          <w:p w14:paraId="358A8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7527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restart"/>
            <w:vAlign w:val="center"/>
          </w:tcPr>
          <w:p w14:paraId="18C72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一、服务成果（40分）</w:t>
            </w:r>
          </w:p>
        </w:tc>
        <w:tc>
          <w:tcPr>
            <w:tcW w:w="2099" w:type="dxa"/>
            <w:vAlign w:val="center"/>
          </w:tcPr>
          <w:p w14:paraId="1BFF9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公司制度审查</w:t>
            </w:r>
          </w:p>
        </w:tc>
        <w:tc>
          <w:tcPr>
            <w:tcW w:w="8378" w:type="dxa"/>
            <w:vAlign w:val="center"/>
          </w:tcPr>
          <w:p w14:paraId="5623D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13-14分：审查全面细致，精准识别制度潜在法律风险，出具的审查意见具体可行，能有效完善制度合规性；</w:t>
            </w:r>
          </w:p>
          <w:p w14:paraId="5B872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9-12分：按要求完成审查，准确识别主要风险，意见基本适配优化需求；</w:t>
            </w:r>
          </w:p>
          <w:p w14:paraId="0E953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0-8分：审查流于形式，漏判关键风险，意见笼统无针对性，无法支撑制度完善。</w:t>
            </w:r>
          </w:p>
        </w:tc>
        <w:tc>
          <w:tcPr>
            <w:tcW w:w="983" w:type="dxa"/>
            <w:vAlign w:val="center"/>
          </w:tcPr>
          <w:p w14:paraId="72266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0CE4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vAlign w:val="center"/>
          </w:tcPr>
          <w:p w14:paraId="3C5688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5BAA1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合同及合伙协议审查</w:t>
            </w:r>
          </w:p>
        </w:tc>
        <w:tc>
          <w:tcPr>
            <w:tcW w:w="8378" w:type="dxa"/>
            <w:vAlign w:val="center"/>
          </w:tcPr>
          <w:p w14:paraId="59C05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13-14分：对各类合同、合伙协议审查严谨，条款权责划分、合规性把控到位，无法律漏洞，审查意见可直接落地；</w:t>
            </w:r>
          </w:p>
          <w:p w14:paraId="07AD8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9-12分：完成审查工作，核心条款风险识别到位，意见合规且无明显疏漏；</w:t>
            </w:r>
          </w:p>
          <w:p w14:paraId="74C26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0-8分：审查不细致，存在关键条款风险漏判，多次补充审查仍不达标。</w:t>
            </w:r>
          </w:p>
        </w:tc>
        <w:tc>
          <w:tcPr>
            <w:tcW w:w="983" w:type="dxa"/>
            <w:vAlign w:val="center"/>
          </w:tcPr>
          <w:p w14:paraId="03945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 w14:paraId="2F13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vAlign w:val="center"/>
          </w:tcPr>
          <w:p w14:paraId="0D7E1B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307B0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招投标相关文件审查</w:t>
            </w:r>
          </w:p>
        </w:tc>
        <w:tc>
          <w:tcPr>
            <w:tcW w:w="8378" w:type="dxa"/>
            <w:vAlign w:val="center"/>
          </w:tcPr>
          <w:p w14:paraId="12914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11-12分：精准把控招投标领域法律法规，全面审查文件合规性、严谨性，有效防范招投标法律风险；</w:t>
            </w:r>
          </w:p>
          <w:p w14:paraId="2AB1D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7-10分：按要求完成审查，基本规避重大合规风险，符合招投标流程规范；</w:t>
            </w:r>
          </w:p>
          <w:p w14:paraId="4DCC7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0-6分：审查存在疏漏，文件存在合规瑕疵，可能影响招投标流程或引发纠纷。</w:t>
            </w:r>
          </w:p>
        </w:tc>
        <w:tc>
          <w:tcPr>
            <w:tcW w:w="983" w:type="dxa"/>
            <w:vAlign w:val="center"/>
          </w:tcPr>
          <w:p w14:paraId="62FFC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0A4C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97" w:type="dxa"/>
            <w:vMerge w:val="restart"/>
            <w:vAlign w:val="center"/>
          </w:tcPr>
          <w:p w14:paraId="32CA2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二、文书质量（20分）</w:t>
            </w:r>
          </w:p>
        </w:tc>
        <w:tc>
          <w:tcPr>
            <w:tcW w:w="2099" w:type="dxa"/>
            <w:vAlign w:val="center"/>
          </w:tcPr>
          <w:p w14:paraId="750E2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文书专业性与合规性</w:t>
            </w:r>
          </w:p>
        </w:tc>
        <w:tc>
          <w:tcPr>
            <w:tcW w:w="8378" w:type="dxa"/>
            <w:vAlign w:val="center"/>
          </w:tcPr>
          <w:p w14:paraId="49FC6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10-11分：各类法律文书措辞严谨、逻辑清晰，完全符合法律规定，无任何漏洞；</w:t>
            </w:r>
          </w:p>
          <w:p w14:paraId="1C5BA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6-9分：文书质量合格，内容合规，偶有细微瑕疵需修正，不影响整体效力；</w:t>
            </w:r>
          </w:p>
          <w:p w14:paraId="3803C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0-5分：文书存在明显法律漏洞或表述错误，多次修改仍不达标。</w:t>
            </w:r>
          </w:p>
        </w:tc>
        <w:tc>
          <w:tcPr>
            <w:tcW w:w="983" w:type="dxa"/>
            <w:vAlign w:val="center"/>
          </w:tcPr>
          <w:p w14:paraId="08BD4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1DDE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97" w:type="dxa"/>
            <w:vMerge w:val="continue"/>
            <w:vAlign w:val="center"/>
          </w:tcPr>
          <w:p w14:paraId="1DCAB7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261E3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文书精准度与完整性</w:t>
            </w:r>
          </w:p>
        </w:tc>
        <w:tc>
          <w:tcPr>
            <w:tcW w:w="8378" w:type="dxa"/>
            <w:vAlign w:val="center"/>
          </w:tcPr>
          <w:p w14:paraId="67609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8-9分：文书能精准匹配业务需求，要素齐全、内容完整，可直接落地使用；</w:t>
            </w:r>
          </w:p>
          <w:p w14:paraId="18E54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4-7分：文书要素基本齐全，能满足基础需求，需小幅调整补充；</w:t>
            </w:r>
          </w:p>
          <w:p w14:paraId="2BE7F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0-3分：文书内容残缺，与需求偏差较大，无法直接使用。</w:t>
            </w:r>
          </w:p>
        </w:tc>
        <w:tc>
          <w:tcPr>
            <w:tcW w:w="983" w:type="dxa"/>
            <w:vAlign w:val="center"/>
          </w:tcPr>
          <w:p w14:paraId="0B156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564B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restart"/>
            <w:vAlign w:val="center"/>
          </w:tcPr>
          <w:p w14:paraId="0D81B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三、响应速度（20分）</w:t>
            </w:r>
          </w:p>
        </w:tc>
        <w:tc>
          <w:tcPr>
            <w:tcW w:w="2099" w:type="dxa"/>
            <w:vAlign w:val="center"/>
          </w:tcPr>
          <w:p w14:paraId="79B96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日常事项响应</w:t>
            </w:r>
          </w:p>
        </w:tc>
        <w:tc>
          <w:tcPr>
            <w:tcW w:w="8378" w:type="dxa"/>
            <w:vAlign w:val="center"/>
          </w:tcPr>
          <w:p w14:paraId="29ED9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10-11分：日常咨询、文书处理等事项，2个工作日内响应并推进，按时完成率100%；</w:t>
            </w:r>
          </w:p>
          <w:p w14:paraId="36F57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6-9分：3-4个工作日内响应，按时完成率≥90%，不影响业务进度；</w:t>
            </w:r>
          </w:p>
          <w:p w14:paraId="7AB97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0-5分：响应迟缓（超过4个工作日），按时完成率＜90%，延误业务开展。</w:t>
            </w:r>
          </w:p>
        </w:tc>
        <w:tc>
          <w:tcPr>
            <w:tcW w:w="983" w:type="dxa"/>
            <w:vAlign w:val="center"/>
          </w:tcPr>
          <w:p w14:paraId="703A3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10FC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vAlign w:val="center"/>
          </w:tcPr>
          <w:p w14:paraId="76378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65614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紧急事项响应</w:t>
            </w:r>
          </w:p>
        </w:tc>
        <w:tc>
          <w:tcPr>
            <w:tcW w:w="8378" w:type="dxa"/>
            <w:vAlign w:val="center"/>
          </w:tcPr>
          <w:p w14:paraId="4C91D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8-9分：突发法律纠纷、紧急合规审核等事项，24小时内响应，快速提供解决方案；</w:t>
            </w:r>
          </w:p>
          <w:p w14:paraId="191C7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4-7分：48小时内响应，提供基础应对思路，不造成损失扩大；</w:t>
            </w:r>
          </w:p>
          <w:p w14:paraId="5A878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0-3分：响应不及时，导致事项恶化或公司权益受损。</w:t>
            </w:r>
          </w:p>
          <w:p w14:paraId="27E11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注：若提供服务期间不存在紧急事项得满分。</w:t>
            </w:r>
          </w:p>
        </w:tc>
        <w:tc>
          <w:tcPr>
            <w:tcW w:w="983" w:type="dxa"/>
            <w:vAlign w:val="center"/>
          </w:tcPr>
          <w:p w14:paraId="0FC83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6107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restart"/>
            <w:vAlign w:val="center"/>
          </w:tcPr>
          <w:p w14:paraId="08774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四、沟通协调（20分）</w:t>
            </w:r>
          </w:p>
        </w:tc>
        <w:tc>
          <w:tcPr>
            <w:tcW w:w="2099" w:type="dxa"/>
            <w:vAlign w:val="center"/>
          </w:tcPr>
          <w:p w14:paraId="5EEAD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外部沟通协调</w:t>
            </w:r>
          </w:p>
        </w:tc>
        <w:tc>
          <w:tcPr>
            <w:tcW w:w="8378" w:type="dxa"/>
            <w:vAlign w:val="center"/>
          </w:tcPr>
          <w:p w14:paraId="56D4E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10-11分：高效对接政府监管部门、合作方及纠纷相对方，沟通顺畅，能有效推动事项落地、维护公司权益；</w:t>
            </w:r>
          </w:p>
          <w:p w14:paraId="40DD9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6-9分：配合完成外部沟通，无明显阻碍，基本达成沟通目标；</w:t>
            </w:r>
          </w:p>
          <w:p w14:paraId="7EF52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0-5分：沟通不力，导致事项延误、矛盾激化或公司声誉受损。</w:t>
            </w:r>
          </w:p>
        </w:tc>
        <w:tc>
          <w:tcPr>
            <w:tcW w:w="983" w:type="dxa"/>
            <w:vAlign w:val="center"/>
          </w:tcPr>
          <w:p w14:paraId="7B1D5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0C45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vAlign w:val="center"/>
          </w:tcPr>
          <w:p w14:paraId="4699C0D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7F203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内部沟通协作</w:t>
            </w:r>
          </w:p>
        </w:tc>
        <w:tc>
          <w:tcPr>
            <w:tcW w:w="8378" w:type="dxa"/>
            <w:vAlign w:val="center"/>
          </w:tcPr>
          <w:p w14:paraId="617C9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8-9分：主动对接公司各部门，精准理解需求，反馈及时，协作高效；</w:t>
            </w:r>
          </w:p>
          <w:p w14:paraId="5C466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4-7分：按要求对接内部部门，基本配合完成工作；</w:t>
            </w:r>
          </w:p>
          <w:p w14:paraId="7BCDA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0-3分：沟通被动，需求理解偏差大，反馈不及时，影响团队效率。</w:t>
            </w:r>
          </w:p>
        </w:tc>
        <w:tc>
          <w:tcPr>
            <w:tcW w:w="983" w:type="dxa"/>
            <w:vAlign w:val="center"/>
          </w:tcPr>
          <w:p w14:paraId="1D8EE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359A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6" w:type="dxa"/>
            <w:gridSpan w:val="2"/>
            <w:vAlign w:val="center"/>
          </w:tcPr>
          <w:p w14:paraId="13A15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加分项（最高加5分）</w:t>
            </w:r>
          </w:p>
        </w:tc>
        <w:tc>
          <w:tcPr>
            <w:tcW w:w="8378" w:type="dxa"/>
            <w:vAlign w:val="center"/>
          </w:tcPr>
          <w:p w14:paraId="1D7F9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1.主动发现重大法律风险并成功规避，加2-3分；</w:t>
            </w:r>
          </w:p>
          <w:p w14:paraId="383E5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2.提供创新性优化方案并落地，显著提升服务效能，加1-2分；</w:t>
            </w:r>
          </w:p>
          <w:p w14:paraId="6BDA4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3.获得公司书面表彰，加1分。</w:t>
            </w:r>
          </w:p>
        </w:tc>
        <w:tc>
          <w:tcPr>
            <w:tcW w:w="983" w:type="dxa"/>
            <w:vAlign w:val="center"/>
          </w:tcPr>
          <w:p w14:paraId="76250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267F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696" w:type="dxa"/>
            <w:gridSpan w:val="2"/>
            <w:vAlign w:val="center"/>
          </w:tcPr>
          <w:p w14:paraId="646EE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扣分项（无上限，扣至总分归零）</w:t>
            </w:r>
          </w:p>
        </w:tc>
        <w:tc>
          <w:tcPr>
            <w:tcW w:w="8378" w:type="dxa"/>
            <w:vAlign w:val="center"/>
          </w:tcPr>
          <w:p w14:paraId="21AB3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1.因自身失误导致公司产生法律纠纷或经济损失，每次扣5-10分；</w:t>
            </w:r>
          </w:p>
          <w:p w14:paraId="04D4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2.泄露公司商业秘密或法律信息，每次扣10分；</w:t>
            </w:r>
          </w:p>
          <w:p w14:paraId="7D50C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3.无故拖延服务事项，每次扣2-3分。</w:t>
            </w:r>
          </w:p>
        </w:tc>
        <w:tc>
          <w:tcPr>
            <w:tcW w:w="983" w:type="dxa"/>
            <w:vAlign w:val="center"/>
          </w:tcPr>
          <w:p w14:paraId="0FFF0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 w14:paraId="644A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74" w:type="dxa"/>
            <w:gridSpan w:val="3"/>
            <w:vAlign w:val="center"/>
          </w:tcPr>
          <w:p w14:paraId="5F4D5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总分及评价等级：85-105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分（优秀）、70-84分（良好）、60-69（合格）、＜60分（不合格）</w:t>
            </w:r>
          </w:p>
        </w:tc>
        <w:tc>
          <w:tcPr>
            <w:tcW w:w="983" w:type="dxa"/>
            <w:vAlign w:val="center"/>
          </w:tcPr>
          <w:p w14:paraId="2B08B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</w:tr>
    </w:tbl>
    <w:p w14:paraId="53714BB3">
      <w:pPr>
        <w:pStyle w:val="2"/>
        <w:numPr>
          <w:ilvl w:val="3"/>
          <w:numId w:val="0"/>
        </w:numPr>
        <w:spacing w:before="0" w:after="0" w:line="24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p w14:paraId="3A9B2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5868BB7">
      <w:pPr>
        <w:pStyle w:val="2"/>
        <w:numPr>
          <w:ilvl w:val="3"/>
          <w:numId w:val="0"/>
        </w:numPr>
        <w:ind w:leftChars="0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p w14:paraId="634A328D">
      <w:pPr>
        <w:jc w:val="center"/>
        <w:rPr>
          <w:rFonts w:hint="default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CF28F7-1BD9-445C-BA34-F4DA2569E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C94AE3-BDD0-428E-81F2-54879FDFE79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2184996-55EF-43AE-BBD0-631351F972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B18F6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A2A03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A2A03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2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2ZTNhZDBlYjA3M2M5ZTQzYTgwMjNkMzRkNmJmNmUifQ=="/>
  </w:docVars>
  <w:rsids>
    <w:rsidRoot w:val="00434643"/>
    <w:rsid w:val="000476EC"/>
    <w:rsid w:val="00070C4A"/>
    <w:rsid w:val="00081EC2"/>
    <w:rsid w:val="000C1D0C"/>
    <w:rsid w:val="00247590"/>
    <w:rsid w:val="0027657F"/>
    <w:rsid w:val="00290A67"/>
    <w:rsid w:val="002A3B73"/>
    <w:rsid w:val="002C11F0"/>
    <w:rsid w:val="002C20F8"/>
    <w:rsid w:val="002C5299"/>
    <w:rsid w:val="00332F46"/>
    <w:rsid w:val="00375027"/>
    <w:rsid w:val="003858CE"/>
    <w:rsid w:val="00402FB2"/>
    <w:rsid w:val="00405721"/>
    <w:rsid w:val="00434643"/>
    <w:rsid w:val="00464329"/>
    <w:rsid w:val="004D69DA"/>
    <w:rsid w:val="00513E68"/>
    <w:rsid w:val="005C0EF1"/>
    <w:rsid w:val="005E4954"/>
    <w:rsid w:val="005E6111"/>
    <w:rsid w:val="00691554"/>
    <w:rsid w:val="006A0A38"/>
    <w:rsid w:val="006B2277"/>
    <w:rsid w:val="006F2AF2"/>
    <w:rsid w:val="00747A88"/>
    <w:rsid w:val="007C21C7"/>
    <w:rsid w:val="008146F9"/>
    <w:rsid w:val="00823693"/>
    <w:rsid w:val="00831D12"/>
    <w:rsid w:val="00832FA4"/>
    <w:rsid w:val="008D4754"/>
    <w:rsid w:val="008F5BF2"/>
    <w:rsid w:val="00901C25"/>
    <w:rsid w:val="00A11114"/>
    <w:rsid w:val="00A160ED"/>
    <w:rsid w:val="00A339BD"/>
    <w:rsid w:val="00A441B4"/>
    <w:rsid w:val="00A53B62"/>
    <w:rsid w:val="00A6306B"/>
    <w:rsid w:val="00B62D72"/>
    <w:rsid w:val="00BC36DC"/>
    <w:rsid w:val="00C33F99"/>
    <w:rsid w:val="00C56089"/>
    <w:rsid w:val="00CB3A18"/>
    <w:rsid w:val="00D22E04"/>
    <w:rsid w:val="00D27D43"/>
    <w:rsid w:val="00D8033F"/>
    <w:rsid w:val="00DA15B3"/>
    <w:rsid w:val="00DF4428"/>
    <w:rsid w:val="00E63B15"/>
    <w:rsid w:val="00ED32B7"/>
    <w:rsid w:val="00F47AA4"/>
    <w:rsid w:val="00F87268"/>
    <w:rsid w:val="00FB185A"/>
    <w:rsid w:val="014423AF"/>
    <w:rsid w:val="02975B5E"/>
    <w:rsid w:val="04526B80"/>
    <w:rsid w:val="06173D21"/>
    <w:rsid w:val="08831407"/>
    <w:rsid w:val="09622C8A"/>
    <w:rsid w:val="0A553462"/>
    <w:rsid w:val="0A6D7B38"/>
    <w:rsid w:val="0AE421FF"/>
    <w:rsid w:val="0AEB4610"/>
    <w:rsid w:val="0B097861"/>
    <w:rsid w:val="0C12450D"/>
    <w:rsid w:val="0D45612B"/>
    <w:rsid w:val="0E194318"/>
    <w:rsid w:val="13C2092A"/>
    <w:rsid w:val="14495172"/>
    <w:rsid w:val="145F3FCF"/>
    <w:rsid w:val="14C02804"/>
    <w:rsid w:val="17AE045E"/>
    <w:rsid w:val="1E497454"/>
    <w:rsid w:val="1F7A1E56"/>
    <w:rsid w:val="20111D4A"/>
    <w:rsid w:val="247B17AA"/>
    <w:rsid w:val="269C6EB1"/>
    <w:rsid w:val="26F70A5D"/>
    <w:rsid w:val="27BC63E9"/>
    <w:rsid w:val="28E47DD2"/>
    <w:rsid w:val="2E61338C"/>
    <w:rsid w:val="2E776695"/>
    <w:rsid w:val="312A28E8"/>
    <w:rsid w:val="31C559E0"/>
    <w:rsid w:val="33477704"/>
    <w:rsid w:val="37FD78B9"/>
    <w:rsid w:val="39CC413E"/>
    <w:rsid w:val="3BCB1B07"/>
    <w:rsid w:val="3F4C0A6E"/>
    <w:rsid w:val="3FBB6826"/>
    <w:rsid w:val="408F2652"/>
    <w:rsid w:val="428D4D7A"/>
    <w:rsid w:val="45056E60"/>
    <w:rsid w:val="45FF8756"/>
    <w:rsid w:val="483F0BC1"/>
    <w:rsid w:val="49ED71AF"/>
    <w:rsid w:val="4BA36143"/>
    <w:rsid w:val="4EFD50D2"/>
    <w:rsid w:val="4FC41A15"/>
    <w:rsid w:val="50AF31EB"/>
    <w:rsid w:val="51483093"/>
    <w:rsid w:val="57A9307D"/>
    <w:rsid w:val="5BF593FC"/>
    <w:rsid w:val="5C4C3DA9"/>
    <w:rsid w:val="5C7707F8"/>
    <w:rsid w:val="5DB470DB"/>
    <w:rsid w:val="636E4CE4"/>
    <w:rsid w:val="652EF1AC"/>
    <w:rsid w:val="661C44DC"/>
    <w:rsid w:val="67F404FC"/>
    <w:rsid w:val="68E94D88"/>
    <w:rsid w:val="6AB13195"/>
    <w:rsid w:val="6D283422"/>
    <w:rsid w:val="714B525B"/>
    <w:rsid w:val="7B5A4C40"/>
    <w:rsid w:val="7BAE0860"/>
    <w:rsid w:val="7BDF6C6B"/>
    <w:rsid w:val="7C1C3A1B"/>
    <w:rsid w:val="7E6AE6E1"/>
    <w:rsid w:val="7F5259A6"/>
    <w:rsid w:val="CB7BDAE9"/>
    <w:rsid w:val="DDADB4F8"/>
    <w:rsid w:val="EABD1CEE"/>
    <w:rsid w:val="F667F00F"/>
    <w:rsid w:val="F89E80C3"/>
    <w:rsid w:val="FB3F9BAB"/>
    <w:rsid w:val="FEFFA763"/>
    <w:rsid w:val="FFD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/>
      <w:b/>
      <w:kern w:val="0"/>
      <w:sz w:val="28"/>
      <w:szCs w:val="28"/>
      <w:lang w:val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Plain Text"/>
    <w:basedOn w:val="1"/>
    <w:next w:val="6"/>
    <w:unhideWhenUsed/>
    <w:qFormat/>
    <w:uiPriority w:val="99"/>
    <w:rPr>
      <w:rFonts w:ascii="宋体" w:cs="Courier New"/>
      <w:szCs w:val="21"/>
    </w:rPr>
  </w:style>
  <w:style w:type="paragraph" w:styleId="9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批注框文本 字符"/>
    <w:basedOn w:val="14"/>
    <w:link w:val="9"/>
    <w:semiHidden/>
    <w:qFormat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1239</Words>
  <Characters>1363</Characters>
  <Lines>7</Lines>
  <Paragraphs>2</Paragraphs>
  <TotalTime>33</TotalTime>
  <ScaleCrop>false</ScaleCrop>
  <LinksUpToDate>false</LinksUpToDate>
  <CharactersWithSpaces>1363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2020-08-29T18:57:00Z</dcterms:created>
  <dc:creator>胥峻</dc:creator>
  <cp:lastModifiedBy>桔梗</cp:lastModifiedBy>
  <dcterms:modified xsi:type="dcterms:W3CDTF">2026-01-21T03:31:31Z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7727BA2DF4C84E52992D2D647BF49E90_13</vt:lpwstr>
  </property>
  <property fmtid="{D5CDD505-2E9C-101B-9397-08002B2CF9AE}" pid="4" name="KSOTemplateDocerSaveRecord">
    <vt:lpwstr>eyJoZGlkIjoiM2U1NDNiMDkwYTY4ZDUyY2NiMDQ3ZjlhNDA0YWVjYzQiLCJ1c2VySWQiOiI1NTUyMzY5MjUifQ==</vt:lpwstr>
  </property>
</Properties>
</file>